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715" w:rsidRPr="0022457D" w:rsidRDefault="0022457D">
      <w:pPr>
        <w:spacing w:after="60" w:line="360" w:lineRule="auto"/>
        <w:jc w:val="center"/>
      </w:pPr>
      <w:r w:rsidRPr="0022457D">
        <w:rPr>
          <w:b/>
          <w:bCs/>
          <w:sz w:val="24"/>
          <w:szCs w:val="24"/>
        </w:rPr>
        <w:t>International Finance</w:t>
      </w:r>
    </w:p>
    <w:p w:rsidR="00846715" w:rsidRPr="0022457D" w:rsidRDefault="0022457D">
      <w:pPr>
        <w:spacing w:after="300" w:line="360" w:lineRule="auto"/>
        <w:jc w:val="center"/>
        <w:rPr>
          <w:b/>
          <w:bCs/>
          <w:sz w:val="24"/>
          <w:szCs w:val="24"/>
        </w:rPr>
      </w:pPr>
      <w:r w:rsidRPr="0022457D">
        <w:rPr>
          <w:b/>
          <w:bCs/>
          <w:sz w:val="24"/>
          <w:szCs w:val="24"/>
        </w:rPr>
        <w:t>Dec 2026 Examination</w:t>
      </w:r>
    </w:p>
    <w:p w:rsidR="0022457D" w:rsidRPr="0022457D" w:rsidRDefault="0022457D">
      <w:pPr>
        <w:spacing w:after="300" w:line="360" w:lineRule="auto"/>
        <w:jc w:val="center"/>
        <w:rPr>
          <w:b/>
          <w:bCs/>
          <w:sz w:val="24"/>
          <w:szCs w:val="24"/>
        </w:rPr>
      </w:pPr>
    </w:p>
    <w:p w:rsidR="0022457D" w:rsidRPr="0022457D" w:rsidRDefault="0022457D">
      <w:pPr>
        <w:spacing w:after="300" w:line="360" w:lineRule="auto"/>
        <w:jc w:val="center"/>
      </w:pPr>
    </w:p>
    <w:p w:rsidR="00846715" w:rsidRPr="0022457D" w:rsidRDefault="0022457D">
      <w:pPr>
        <w:spacing w:after="200" w:line="360" w:lineRule="auto"/>
        <w:jc w:val="both"/>
      </w:pPr>
      <w:r w:rsidRPr="0022457D">
        <w:rPr>
          <w:b/>
          <w:bCs/>
          <w:iCs/>
          <w:sz w:val="24"/>
          <w:szCs w:val="24"/>
        </w:rPr>
        <w:t xml:space="preserve">Q1 </w:t>
      </w:r>
      <w:proofErr w:type="gramStart"/>
      <w:r w:rsidRPr="0022457D">
        <w:rPr>
          <w:b/>
          <w:bCs/>
          <w:iCs/>
          <w:sz w:val="24"/>
          <w:szCs w:val="24"/>
        </w:rPr>
        <w:t>A</w:t>
      </w:r>
      <w:proofErr w:type="gramEnd"/>
      <w:r w:rsidRPr="0022457D">
        <w:rPr>
          <w:b/>
          <w:bCs/>
          <w:iCs/>
          <w:sz w:val="24"/>
          <w:szCs w:val="24"/>
        </w:rPr>
        <w:t xml:space="preserve"> newly industrializing country is seeking to stabilize its currency as it faces significant capital inflows, increasing exchange rate volatility, and periodic balance of payment deficits. The finance ministry is debating whether adopting a fixed exchange rate system similar to the </w:t>
      </w:r>
      <w:proofErr w:type="spellStart"/>
      <w:r w:rsidRPr="0022457D">
        <w:rPr>
          <w:b/>
          <w:bCs/>
          <w:iCs/>
          <w:sz w:val="24"/>
          <w:szCs w:val="24"/>
        </w:rPr>
        <w:t>Bretton</w:t>
      </w:r>
      <w:proofErr w:type="spellEnd"/>
      <w:r w:rsidRPr="0022457D">
        <w:rPr>
          <w:b/>
          <w:bCs/>
          <w:iCs/>
          <w:sz w:val="24"/>
          <w:szCs w:val="24"/>
        </w:rPr>
        <w:t xml:space="preserve"> Woods model or transitioning to a managed float would best support the country's economic growth and global competitiveness. The central bank is particularly concerned about the implications for monetary policy autonomy and long-term financial stability in a globalized environment. Apply the merits and demerits of fixed, floating, and managed float exchange rate systems to analyze which framework would be most suitable for the country's current situation. What decision would you recommend to the central bank, and how should the chosen system address both exchange rate stability and flexibility? (10 Marks)</w:t>
      </w:r>
    </w:p>
    <w:p w:rsidR="00846715" w:rsidRPr="0022457D" w:rsidRDefault="0022457D">
      <w:pPr>
        <w:spacing w:before="240" w:after="120" w:line="360" w:lineRule="auto"/>
      </w:pPr>
      <w:proofErr w:type="spellStart"/>
      <w:proofErr w:type="gramStart"/>
      <w:r w:rsidRPr="0022457D">
        <w:rPr>
          <w:b/>
          <w:bCs/>
          <w:sz w:val="24"/>
          <w:szCs w:val="24"/>
        </w:rPr>
        <w:t>Ans</w:t>
      </w:r>
      <w:proofErr w:type="spellEnd"/>
      <w:r w:rsidRPr="0022457D">
        <w:rPr>
          <w:b/>
          <w:bCs/>
          <w:sz w:val="24"/>
          <w:szCs w:val="24"/>
        </w:rPr>
        <w:t xml:space="preserve"> 1.</w:t>
      </w:r>
      <w:proofErr w:type="gramEnd"/>
    </w:p>
    <w:p w:rsidR="00846715" w:rsidRPr="0022457D" w:rsidRDefault="0022457D">
      <w:pPr>
        <w:spacing w:before="160" w:after="80" w:line="360" w:lineRule="auto"/>
      </w:pPr>
      <w:r w:rsidRPr="0022457D">
        <w:rPr>
          <w:b/>
          <w:bCs/>
          <w:sz w:val="24"/>
          <w:szCs w:val="24"/>
        </w:rPr>
        <w:t>Introduction</w:t>
      </w:r>
    </w:p>
    <w:p w:rsidR="00846715" w:rsidRDefault="0022457D" w:rsidP="00DF520D">
      <w:pPr>
        <w:spacing w:after="160" w:line="360" w:lineRule="auto"/>
        <w:jc w:val="both"/>
        <w:rPr>
          <w:sz w:val="24"/>
          <w:szCs w:val="24"/>
        </w:rPr>
      </w:pPr>
      <w:r w:rsidRPr="0022457D">
        <w:rPr>
          <w:sz w:val="24"/>
          <w:szCs w:val="24"/>
        </w:rPr>
        <w:t xml:space="preserve">Rising capital inflows, volatile exchange rates, and recurring balance of payment deficits are pulling this newly industrializing country toward a genuine policy choice, not a routine adjustment. Fixed, floating, and managed float exchange rate systems each trade monetary policy autonomy for different degrees of currency stability, so the finance ministry's decision ultimately depends on which trade-off best matches the country's current stage of global financial </w:t>
      </w:r>
      <w:r w:rsidR="00DF520D">
        <w:rPr>
          <w:sz w:val="24"/>
          <w:szCs w:val="24"/>
        </w:rPr>
        <w:t>integration</w:t>
      </w:r>
    </w:p>
    <w:p w:rsidR="00DF520D" w:rsidRDefault="00DF520D" w:rsidP="00DF520D">
      <w:pPr>
        <w:pStyle w:val="NormalWeb"/>
        <w:jc w:val="center"/>
        <w:rPr>
          <w:rStyle w:val="Strong"/>
          <w:color w:val="FF0000"/>
          <w:sz w:val="28"/>
        </w:rPr>
      </w:pPr>
      <w:r>
        <w:rPr>
          <w:rStyle w:val="Strong"/>
          <w:color w:val="FF0000"/>
          <w:sz w:val="28"/>
        </w:rPr>
        <w:t xml:space="preserve">Fully solved you can download </w:t>
      </w:r>
    </w:p>
    <w:p w:rsidR="00DF520D" w:rsidRDefault="00DF520D" w:rsidP="00DF520D">
      <w:pPr>
        <w:pStyle w:val="NormalWeb"/>
        <w:jc w:val="center"/>
      </w:pPr>
      <w:r>
        <w:rPr>
          <w:rStyle w:val="Strong"/>
          <w:color w:val="FF0000"/>
          <w:sz w:val="28"/>
        </w:rPr>
        <w:t>ASSIGNMENTS Dec 2026</w:t>
      </w:r>
      <w:r>
        <w:rPr>
          <w:b/>
          <w:color w:val="FF0000"/>
          <w:sz w:val="28"/>
        </w:rPr>
        <w:t xml:space="preserve"> </w:t>
      </w:r>
      <w:r>
        <w:rPr>
          <w:b/>
          <w:color w:val="FF0000"/>
          <w:sz w:val="28"/>
        </w:rPr>
        <w:br/>
      </w:r>
    </w:p>
    <w:p w:rsidR="00DF520D" w:rsidRDefault="00DF520D" w:rsidP="00DF520D">
      <w:pPr>
        <w:pStyle w:val="NormalWeb"/>
        <w:numPr>
          <w:ilvl w:val="0"/>
          <w:numId w:val="2"/>
        </w:numPr>
        <w:jc w:val="center"/>
        <w:rPr>
          <w:b/>
          <w:color w:val="FF0000"/>
          <w:sz w:val="28"/>
        </w:rPr>
      </w:pPr>
      <w:r>
        <w:rPr>
          <w:b/>
          <w:color w:val="FF0000"/>
          <w:sz w:val="28"/>
        </w:rPr>
        <w:lastRenderedPageBreak/>
        <w:t>Fully Solved, High Quality</w:t>
      </w:r>
    </w:p>
    <w:p w:rsidR="00DF520D" w:rsidRDefault="00DF520D" w:rsidP="00DF520D">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DF520D" w:rsidRDefault="00DF520D" w:rsidP="00DF520D">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DF520D" w:rsidRDefault="00DF520D" w:rsidP="00DF520D">
      <w:pPr>
        <w:pStyle w:val="NormalWeb"/>
        <w:jc w:val="center"/>
        <w:rPr>
          <w:b/>
          <w:color w:val="FF0000"/>
          <w:sz w:val="28"/>
        </w:rPr>
      </w:pPr>
      <w:r>
        <w:rPr>
          <w:b/>
          <w:color w:val="FF0000"/>
          <w:sz w:val="28"/>
        </w:rPr>
        <w:t xml:space="preserve">Hurry! Last Date: </w:t>
      </w:r>
      <w:r>
        <w:rPr>
          <w:rStyle w:val="Strong"/>
          <w:color w:val="FF0000"/>
          <w:sz w:val="28"/>
        </w:rPr>
        <w:t>29 Oct 2026</w:t>
      </w:r>
    </w:p>
    <w:p w:rsidR="00DF520D" w:rsidRDefault="00DF520D" w:rsidP="00DF520D">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DF520D" w:rsidRDefault="00DF520D" w:rsidP="00DF520D">
      <w:pPr>
        <w:pStyle w:val="NormalWeb"/>
        <w:jc w:val="center"/>
        <w:rPr>
          <w:rStyle w:val="Strong"/>
          <w:color w:val="FF0000"/>
        </w:rPr>
      </w:pPr>
      <w:r>
        <w:rPr>
          <w:rStyle w:val="Strong"/>
          <w:color w:val="FF0000"/>
          <w:sz w:val="28"/>
        </w:rPr>
        <w:t>Quick Response Guaranteed!</w:t>
      </w:r>
    </w:p>
    <w:p w:rsidR="00DF520D" w:rsidRDefault="00DF520D" w:rsidP="00DF520D">
      <w:pPr>
        <w:pStyle w:val="NormalWeb"/>
        <w:jc w:val="center"/>
        <w:rPr>
          <w:rStyle w:val="Strong"/>
          <w:color w:val="FF0000"/>
          <w:sz w:val="28"/>
        </w:rPr>
      </w:pPr>
      <w:r>
        <w:rPr>
          <w:rStyle w:val="Strong"/>
          <w:color w:val="FF0000"/>
          <w:sz w:val="28"/>
        </w:rPr>
        <w:t>For Unique Assignment please contact on</w:t>
      </w:r>
    </w:p>
    <w:p w:rsidR="00DF520D" w:rsidRDefault="00DF520D" w:rsidP="00DF520D">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DF520D" w:rsidRDefault="00DF520D" w:rsidP="00DF520D">
      <w:pPr>
        <w:pStyle w:val="NormalWeb"/>
        <w:numPr>
          <w:ilvl w:val="0"/>
          <w:numId w:val="3"/>
        </w:numPr>
        <w:jc w:val="center"/>
        <w:rPr>
          <w:b/>
          <w:sz w:val="28"/>
        </w:rPr>
      </w:pPr>
      <w:hyperlink r:id="rId6" w:history="1">
        <w:r>
          <w:rPr>
            <w:rStyle w:val="Hyperlink"/>
            <w:sz w:val="28"/>
          </w:rPr>
          <w:t>aapkieducation@gmail.com</w:t>
        </w:r>
      </w:hyperlink>
    </w:p>
    <w:p w:rsidR="00DF520D" w:rsidRDefault="00DF520D" w:rsidP="00DF520D">
      <w:pPr>
        <w:pStyle w:val="NormalWeb"/>
        <w:numPr>
          <w:ilvl w:val="0"/>
          <w:numId w:val="3"/>
        </w:numPr>
        <w:jc w:val="center"/>
        <w:rPr>
          <w:b/>
          <w:sz w:val="28"/>
        </w:rPr>
      </w:pPr>
      <w:hyperlink r:id="rId7" w:tgtFrame="_new" w:history="1">
        <w:r>
          <w:rPr>
            <w:rStyle w:val="Hyperlink"/>
            <w:sz w:val="28"/>
          </w:rPr>
          <w:t>www.aapkieducation.com</w:t>
        </w:r>
      </w:hyperlink>
    </w:p>
    <w:p w:rsidR="00DF520D" w:rsidRPr="0022457D" w:rsidRDefault="00DF520D" w:rsidP="00DF520D">
      <w:pPr>
        <w:spacing w:after="160" w:line="360" w:lineRule="auto"/>
        <w:jc w:val="both"/>
      </w:pPr>
    </w:p>
    <w:p w:rsidR="00846715" w:rsidRPr="0022457D" w:rsidRDefault="0022457D">
      <w:r w:rsidRPr="0022457D">
        <w:br/>
      </w:r>
    </w:p>
    <w:p w:rsidR="00846715" w:rsidRPr="0022457D" w:rsidRDefault="0022457D">
      <w:pPr>
        <w:spacing w:after="200" w:line="360" w:lineRule="auto"/>
        <w:jc w:val="both"/>
      </w:pPr>
      <w:r w:rsidRPr="0022457D">
        <w:rPr>
          <w:b/>
          <w:bCs/>
          <w:iCs/>
          <w:sz w:val="24"/>
          <w:szCs w:val="24"/>
        </w:rPr>
        <w:t>Q2 (A) An analyst is comparing the relationship between inflation rates and exchange rate movements of two countries, India and Country X, over three consecutive years. Relevant data is shown below: Year 1, India's Inflation Rate: 4%, Country X Inflation Rate: 1.5%, Actual Change in INR/X Unit Exchange Rate: 2.0%; Year 2, India's Inflation Rate: 6%, Country X Inflation Rate: 2.0%, Actual Change in INR/X Unit Exchange Rate: 3.8%; Year 3, India's Inflation Rate: 5%, Country X Inflation Rate: 2.5%, Actual Change in INR/X Unit Exchange Rate: 3.1%. (a) Using Relative Purchasing Power Parity theory, compute the theoretical percentage change in the INR/X Unit exchange rate for each year. (b) Compare the theoretical values to actual movements and provide a step-wise quantitative analysis of whether PPP under- or over-predicts currency depreciation in each year. Support your reasoning with calculations and interpretations. (5 Marks)</w:t>
      </w:r>
    </w:p>
    <w:p w:rsidR="00846715" w:rsidRPr="0022457D" w:rsidRDefault="0022457D">
      <w:pPr>
        <w:spacing w:before="240" w:after="120" w:line="360" w:lineRule="auto"/>
      </w:pPr>
      <w:proofErr w:type="spellStart"/>
      <w:proofErr w:type="gramStart"/>
      <w:r w:rsidRPr="0022457D">
        <w:rPr>
          <w:b/>
          <w:bCs/>
          <w:sz w:val="24"/>
          <w:szCs w:val="24"/>
        </w:rPr>
        <w:t>Ans</w:t>
      </w:r>
      <w:proofErr w:type="spellEnd"/>
      <w:r w:rsidRPr="0022457D">
        <w:rPr>
          <w:b/>
          <w:bCs/>
          <w:sz w:val="24"/>
          <w:szCs w:val="24"/>
        </w:rPr>
        <w:t xml:space="preserve"> 2(A).</w:t>
      </w:r>
      <w:proofErr w:type="gramEnd"/>
    </w:p>
    <w:p w:rsidR="00846715" w:rsidRPr="0022457D" w:rsidRDefault="0022457D">
      <w:pPr>
        <w:spacing w:before="160" w:after="80" w:line="360" w:lineRule="auto"/>
      </w:pPr>
      <w:r w:rsidRPr="0022457D">
        <w:rPr>
          <w:b/>
          <w:bCs/>
          <w:sz w:val="24"/>
          <w:szCs w:val="24"/>
        </w:rPr>
        <w:t>Introduction</w:t>
      </w:r>
    </w:p>
    <w:p w:rsidR="00846715" w:rsidRPr="0022457D" w:rsidRDefault="0022457D">
      <w:pPr>
        <w:spacing w:after="160" w:line="360" w:lineRule="auto"/>
        <w:jc w:val="both"/>
      </w:pPr>
      <w:r w:rsidRPr="0022457D">
        <w:rPr>
          <w:sz w:val="24"/>
          <w:szCs w:val="24"/>
        </w:rPr>
        <w:t xml:space="preserve">Relative Purchasing Power Parity links the expected movement in an exchange rate to the inflation differential between two countries, offering a theoretical benchmark against which actual currency movements can be judged. Comparing this theoretical prediction to the actual </w:t>
      </w:r>
      <w:r w:rsidRPr="0022457D">
        <w:rPr>
          <w:sz w:val="24"/>
          <w:szCs w:val="24"/>
        </w:rPr>
        <w:lastRenderedPageBreak/>
        <w:t>change in the INR per unit of Country X's currency across the three years reveals whether purchasing power parity consistently over-predicts or under-predicts depreciation, or whether its accuracy shifts from year to year.</w:t>
      </w:r>
    </w:p>
    <w:p w:rsidR="00846715" w:rsidRPr="0022457D" w:rsidRDefault="0022457D">
      <w:pPr>
        <w:spacing w:before="160" w:after="80" w:line="360" w:lineRule="auto"/>
      </w:pPr>
      <w:r w:rsidRPr="0022457D">
        <w:rPr>
          <w:b/>
          <w:bCs/>
          <w:sz w:val="24"/>
          <w:szCs w:val="24"/>
        </w:rPr>
        <w:t>Concept and Application</w:t>
      </w:r>
    </w:p>
    <w:p w:rsidR="00DF520D" w:rsidRDefault="0022457D" w:rsidP="00DF520D">
      <w:pPr>
        <w:spacing w:before="160" w:after="80" w:line="360" w:lineRule="auto"/>
        <w:rPr>
          <w:b/>
          <w:bCs/>
          <w:sz w:val="24"/>
          <w:szCs w:val="24"/>
        </w:rPr>
      </w:pPr>
      <w:r w:rsidRPr="0022457D">
        <w:rPr>
          <w:b/>
          <w:bCs/>
          <w:sz w:val="24"/>
          <w:szCs w:val="24"/>
        </w:rPr>
        <w:t xml:space="preserve">The Relative PPP Formula </w:t>
      </w:r>
    </w:p>
    <w:p w:rsidR="00DF520D" w:rsidRPr="0022457D" w:rsidRDefault="00DF520D" w:rsidP="00DF520D">
      <w:pPr>
        <w:spacing w:before="160" w:after="80" w:line="360" w:lineRule="auto"/>
      </w:pPr>
    </w:p>
    <w:p w:rsidR="00846715" w:rsidRPr="0022457D" w:rsidRDefault="00846715"/>
    <w:p w:rsidR="0022457D" w:rsidRDefault="0022457D">
      <w:pPr>
        <w:spacing w:after="200" w:line="360" w:lineRule="auto"/>
        <w:jc w:val="both"/>
        <w:rPr>
          <w:b/>
          <w:bCs/>
          <w:iCs/>
          <w:sz w:val="24"/>
          <w:szCs w:val="24"/>
        </w:rPr>
      </w:pPr>
    </w:p>
    <w:p w:rsidR="00846715" w:rsidRPr="0022457D" w:rsidRDefault="0022457D">
      <w:pPr>
        <w:spacing w:after="200" w:line="360" w:lineRule="auto"/>
        <w:jc w:val="both"/>
      </w:pPr>
      <w:r w:rsidRPr="0022457D">
        <w:rPr>
          <w:b/>
          <w:bCs/>
          <w:iCs/>
          <w:sz w:val="24"/>
          <w:szCs w:val="24"/>
        </w:rPr>
        <w:t>Q2 (B) A leading multinational corporation (MNC) has operated successfully in Country X, but a recent economic downturn has prompted the central bank to tighten foreign exchange controls and impose strict dividend restrictions. The MNC's subsidiary is now required to retain 70% of after-tax profits locally, and approval for repatriating even the capped dividends is often delayed by bureaucracy. Additionally, the host country's currency has shown signs of heightened volatility, exposing blocked profits to potential devaluation. The MNC's finance team is considering reinvestment of blocked funds versus employing transfer pricing and management fee mechanisms to extract value, all while observing compliance requirements. As the financial director, critically evaluate which strategy, local reinvestment or aggressive financial structuring (using transfer pricing and management fees), offers a more sustainable solution to preserving and maximizing the MNC's value in the face of government controls. Justify your decision by weighing the long-term financial, regulatory, and reputational risks and benefits. (5 Marks)</w:t>
      </w:r>
    </w:p>
    <w:p w:rsidR="00846715" w:rsidRPr="0022457D" w:rsidRDefault="0022457D">
      <w:pPr>
        <w:spacing w:before="240" w:after="120" w:line="360" w:lineRule="auto"/>
      </w:pPr>
      <w:proofErr w:type="spellStart"/>
      <w:proofErr w:type="gramStart"/>
      <w:r w:rsidRPr="0022457D">
        <w:rPr>
          <w:b/>
          <w:bCs/>
          <w:sz w:val="24"/>
          <w:szCs w:val="24"/>
        </w:rPr>
        <w:t>Ans</w:t>
      </w:r>
      <w:proofErr w:type="spellEnd"/>
      <w:r w:rsidRPr="0022457D">
        <w:rPr>
          <w:b/>
          <w:bCs/>
          <w:sz w:val="24"/>
          <w:szCs w:val="24"/>
        </w:rPr>
        <w:t xml:space="preserve"> 2(B).</w:t>
      </w:r>
      <w:proofErr w:type="gramEnd"/>
    </w:p>
    <w:p w:rsidR="00846715" w:rsidRPr="0022457D" w:rsidRDefault="0022457D">
      <w:pPr>
        <w:spacing w:before="160" w:after="80" w:line="360" w:lineRule="auto"/>
      </w:pPr>
      <w:r w:rsidRPr="0022457D">
        <w:rPr>
          <w:b/>
          <w:bCs/>
          <w:sz w:val="24"/>
          <w:szCs w:val="24"/>
        </w:rPr>
        <w:t>Introduction</w:t>
      </w:r>
    </w:p>
    <w:p w:rsidR="00DF520D" w:rsidRPr="0022457D" w:rsidRDefault="0022457D" w:rsidP="00DF520D">
      <w:pPr>
        <w:spacing w:after="160" w:line="360" w:lineRule="auto"/>
        <w:jc w:val="both"/>
      </w:pPr>
      <w:r w:rsidRPr="0022457D">
        <w:rPr>
          <w:sz w:val="24"/>
          <w:szCs w:val="24"/>
        </w:rPr>
        <w:t xml:space="preserve">Tightened foreign exchange controls and mandatory profit retention have trapped the subsidiary's cash inside Country X, forcing the finance director to choose between reinvesting the blocked funds locally or extracting value through transfer pricing and management fee mechanisms. Both routes carry genuine trade-offs between near-term liquidity, regulatory exposure, and the subsidiary's long-term standing with the host </w:t>
      </w:r>
    </w:p>
    <w:p w:rsidR="00846715" w:rsidRPr="0022457D" w:rsidRDefault="00846715">
      <w:pPr>
        <w:spacing w:after="160" w:line="360" w:lineRule="auto"/>
        <w:jc w:val="both"/>
      </w:pPr>
    </w:p>
    <w:sectPr w:rsidR="00846715" w:rsidRPr="0022457D" w:rsidSect="00846715">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08158E"/>
    <w:multiLevelType w:val="hybridMultilevel"/>
    <w:tmpl w:val="253A7F78"/>
    <w:lvl w:ilvl="0" w:tplc="9D2C51E6">
      <w:start w:val="1"/>
      <w:numFmt w:val="bullet"/>
      <w:lvlText w:val="●"/>
      <w:lvlJc w:val="left"/>
      <w:pPr>
        <w:ind w:left="720" w:hanging="360"/>
      </w:pPr>
    </w:lvl>
    <w:lvl w:ilvl="1" w:tplc="7DBC0D94">
      <w:start w:val="1"/>
      <w:numFmt w:val="bullet"/>
      <w:lvlText w:val="○"/>
      <w:lvlJc w:val="left"/>
      <w:pPr>
        <w:ind w:left="1440" w:hanging="360"/>
      </w:pPr>
    </w:lvl>
    <w:lvl w:ilvl="2" w:tplc="33FE1ECA">
      <w:start w:val="1"/>
      <w:numFmt w:val="bullet"/>
      <w:lvlText w:val="■"/>
      <w:lvlJc w:val="left"/>
      <w:pPr>
        <w:ind w:left="2160" w:hanging="360"/>
      </w:pPr>
    </w:lvl>
    <w:lvl w:ilvl="3" w:tplc="A18E56B2">
      <w:start w:val="1"/>
      <w:numFmt w:val="bullet"/>
      <w:lvlText w:val="●"/>
      <w:lvlJc w:val="left"/>
      <w:pPr>
        <w:ind w:left="2880" w:hanging="360"/>
      </w:pPr>
    </w:lvl>
    <w:lvl w:ilvl="4" w:tplc="3FDEBCFA">
      <w:start w:val="1"/>
      <w:numFmt w:val="bullet"/>
      <w:lvlText w:val="○"/>
      <w:lvlJc w:val="left"/>
      <w:pPr>
        <w:ind w:left="3600" w:hanging="360"/>
      </w:pPr>
    </w:lvl>
    <w:lvl w:ilvl="5" w:tplc="35042220">
      <w:start w:val="1"/>
      <w:numFmt w:val="bullet"/>
      <w:lvlText w:val="■"/>
      <w:lvlJc w:val="left"/>
      <w:pPr>
        <w:ind w:left="4320" w:hanging="360"/>
      </w:pPr>
    </w:lvl>
    <w:lvl w:ilvl="6" w:tplc="B100C0F0">
      <w:start w:val="1"/>
      <w:numFmt w:val="bullet"/>
      <w:lvlText w:val="●"/>
      <w:lvlJc w:val="left"/>
      <w:pPr>
        <w:ind w:left="5040" w:hanging="360"/>
      </w:pPr>
    </w:lvl>
    <w:lvl w:ilvl="7" w:tplc="38B250E8">
      <w:start w:val="1"/>
      <w:numFmt w:val="bullet"/>
      <w:lvlText w:val="●"/>
      <w:lvlJc w:val="left"/>
      <w:pPr>
        <w:ind w:left="5760" w:hanging="360"/>
      </w:pPr>
    </w:lvl>
    <w:lvl w:ilvl="8" w:tplc="3530D30C">
      <w:start w:val="1"/>
      <w:numFmt w:val="bullet"/>
      <w:lvlText w:val="●"/>
      <w:lvlJc w:val="left"/>
      <w:pPr>
        <w:ind w:left="6480" w:hanging="360"/>
      </w:pPr>
    </w:lvl>
  </w:abstractNum>
  <w:abstractNum w:abstractNumId="1">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spelling="clean" w:grammar="clean"/>
  <w:defaultTabStop w:val="720"/>
  <w:characterSpacingControl w:val="doNotCompress"/>
  <w:compat/>
  <w:rsids>
    <w:rsidRoot w:val="00846715"/>
    <w:rsid w:val="0022457D"/>
    <w:rsid w:val="002B7098"/>
    <w:rsid w:val="00846715"/>
    <w:rsid w:val="00DF520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098"/>
  </w:style>
  <w:style w:type="paragraph" w:styleId="Heading1">
    <w:name w:val="heading 1"/>
    <w:qFormat/>
    <w:rsid w:val="00846715"/>
    <w:pPr>
      <w:outlineLvl w:val="0"/>
    </w:pPr>
    <w:rPr>
      <w:color w:val="2E74B5"/>
      <w:sz w:val="32"/>
      <w:szCs w:val="32"/>
    </w:rPr>
  </w:style>
  <w:style w:type="paragraph" w:styleId="Heading2">
    <w:name w:val="heading 2"/>
    <w:qFormat/>
    <w:rsid w:val="00846715"/>
    <w:pPr>
      <w:outlineLvl w:val="1"/>
    </w:pPr>
    <w:rPr>
      <w:color w:val="2E74B5"/>
      <w:sz w:val="26"/>
      <w:szCs w:val="26"/>
    </w:rPr>
  </w:style>
  <w:style w:type="paragraph" w:styleId="Heading3">
    <w:name w:val="heading 3"/>
    <w:qFormat/>
    <w:rsid w:val="00846715"/>
    <w:pPr>
      <w:outlineLvl w:val="2"/>
    </w:pPr>
    <w:rPr>
      <w:color w:val="1F4D78"/>
      <w:sz w:val="24"/>
      <w:szCs w:val="24"/>
    </w:rPr>
  </w:style>
  <w:style w:type="paragraph" w:styleId="Heading4">
    <w:name w:val="heading 4"/>
    <w:qFormat/>
    <w:rsid w:val="00846715"/>
    <w:pPr>
      <w:outlineLvl w:val="3"/>
    </w:pPr>
    <w:rPr>
      <w:i/>
      <w:iCs/>
      <w:color w:val="2E74B5"/>
    </w:rPr>
  </w:style>
  <w:style w:type="paragraph" w:styleId="Heading5">
    <w:name w:val="heading 5"/>
    <w:qFormat/>
    <w:rsid w:val="00846715"/>
    <w:pPr>
      <w:outlineLvl w:val="4"/>
    </w:pPr>
    <w:rPr>
      <w:color w:val="2E74B5"/>
    </w:rPr>
  </w:style>
  <w:style w:type="paragraph" w:styleId="Heading6">
    <w:name w:val="heading 6"/>
    <w:qFormat/>
    <w:rsid w:val="00846715"/>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846715"/>
    <w:rPr>
      <w:sz w:val="56"/>
      <w:szCs w:val="56"/>
    </w:rPr>
  </w:style>
  <w:style w:type="paragraph" w:customStyle="1" w:styleId="Strong1">
    <w:name w:val="Strong1"/>
    <w:qFormat/>
    <w:rsid w:val="00846715"/>
    <w:rPr>
      <w:b/>
      <w:bCs/>
    </w:rPr>
  </w:style>
  <w:style w:type="paragraph" w:styleId="ListParagraph">
    <w:name w:val="List Paragraph"/>
    <w:qFormat/>
    <w:rsid w:val="00846715"/>
  </w:style>
  <w:style w:type="character" w:styleId="Hyperlink">
    <w:name w:val="Hyperlink"/>
    <w:uiPriority w:val="99"/>
    <w:unhideWhenUsed/>
    <w:rsid w:val="00846715"/>
    <w:rPr>
      <w:color w:val="0563C1"/>
      <w:u w:val="single"/>
    </w:rPr>
  </w:style>
  <w:style w:type="character" w:styleId="FootnoteReference">
    <w:name w:val="footnote reference"/>
    <w:uiPriority w:val="99"/>
    <w:semiHidden/>
    <w:unhideWhenUsed/>
    <w:rsid w:val="00846715"/>
    <w:rPr>
      <w:vertAlign w:val="superscript"/>
    </w:rPr>
  </w:style>
  <w:style w:type="paragraph" w:styleId="FootnoteText">
    <w:name w:val="footnote text"/>
    <w:link w:val="FootnoteTextChar"/>
    <w:uiPriority w:val="99"/>
    <w:semiHidden/>
    <w:unhideWhenUsed/>
    <w:rsid w:val="00846715"/>
  </w:style>
  <w:style w:type="character" w:customStyle="1" w:styleId="FootnoteTextChar">
    <w:name w:val="Footnote Text Char"/>
    <w:link w:val="FootnoteText"/>
    <w:uiPriority w:val="99"/>
    <w:semiHidden/>
    <w:unhideWhenUsed/>
    <w:rsid w:val="00846715"/>
    <w:rPr>
      <w:sz w:val="20"/>
      <w:szCs w:val="20"/>
    </w:rPr>
  </w:style>
  <w:style w:type="character" w:styleId="EndnoteReference">
    <w:name w:val="endnote reference"/>
    <w:uiPriority w:val="99"/>
    <w:semiHidden/>
    <w:unhideWhenUsed/>
    <w:rsid w:val="00846715"/>
    <w:rPr>
      <w:vertAlign w:val="superscript"/>
    </w:rPr>
  </w:style>
  <w:style w:type="paragraph" w:styleId="EndnoteText">
    <w:name w:val="endnote text"/>
    <w:link w:val="EndnoteTextChar"/>
    <w:uiPriority w:val="99"/>
    <w:semiHidden/>
    <w:unhideWhenUsed/>
    <w:rsid w:val="00846715"/>
  </w:style>
  <w:style w:type="character" w:customStyle="1" w:styleId="EndnoteTextChar">
    <w:name w:val="Endnote Text Char"/>
    <w:link w:val="EndnoteText"/>
    <w:uiPriority w:val="99"/>
    <w:semiHidden/>
    <w:unhideWhenUsed/>
    <w:rsid w:val="00846715"/>
    <w:rPr>
      <w:sz w:val="20"/>
      <w:szCs w:val="20"/>
    </w:rPr>
  </w:style>
  <w:style w:type="table" w:styleId="TableGrid">
    <w:name w:val="Table Grid"/>
    <w:basedOn w:val="TableNormal"/>
    <w:uiPriority w:val="59"/>
    <w:rsid w:val="002245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F520D"/>
    <w:pPr>
      <w:spacing w:before="100" w:beforeAutospacing="1" w:after="100" w:afterAutospacing="1"/>
    </w:pPr>
    <w:rPr>
      <w:sz w:val="24"/>
      <w:szCs w:val="24"/>
    </w:rPr>
  </w:style>
  <w:style w:type="character" w:styleId="Strong">
    <w:name w:val="Strong"/>
    <w:basedOn w:val="DefaultParagraphFont"/>
    <w:uiPriority w:val="22"/>
    <w:qFormat/>
    <w:rsid w:val="00DF520D"/>
    <w:rPr>
      <w:b/>
      <w:bCs/>
    </w:rPr>
  </w:style>
</w:styles>
</file>

<file path=word/webSettings.xml><?xml version="1.0" encoding="utf-8"?>
<w:webSettings xmlns:r="http://schemas.openxmlformats.org/officeDocument/2006/relationships" xmlns:w="http://schemas.openxmlformats.org/wordprocessingml/2006/main">
  <w:divs>
    <w:div w:id="674571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761</Words>
  <Characters>4341</Characters>
  <Application>Microsoft Office Word</Application>
  <DocSecurity>0</DocSecurity>
  <Lines>36</Lines>
  <Paragraphs>10</Paragraphs>
  <ScaleCrop>false</ScaleCrop>
  <Company/>
  <LinksUpToDate>false</LinksUpToDate>
  <CharactersWithSpaces>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2026-10-04T15:06:00Z</dcterms:created>
  <dcterms:modified xsi:type="dcterms:W3CDTF">2026-10-04T18:03:00Z</dcterms:modified>
</cp:coreProperties>
</file>