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D9" w:rsidRPr="003237DF" w:rsidRDefault="003237DF" w:rsidP="003237DF">
      <w:pPr>
        <w:spacing w:after="80" w:line="360" w:lineRule="auto"/>
        <w:jc w:val="center"/>
      </w:pPr>
      <w:r w:rsidRPr="003237DF">
        <w:rPr>
          <w:b/>
          <w:bCs/>
        </w:rPr>
        <w:t>Corporate Tax Planning</w:t>
      </w:r>
    </w:p>
    <w:p w:rsidR="00FE5CD9" w:rsidRPr="003237DF" w:rsidRDefault="003237DF" w:rsidP="003237DF">
      <w:pPr>
        <w:spacing w:after="80" w:line="360" w:lineRule="auto"/>
        <w:jc w:val="center"/>
      </w:pPr>
      <w:r w:rsidRPr="003237DF">
        <w:rPr>
          <w:b/>
          <w:bCs/>
        </w:rPr>
        <w:t>Jun 2026 Examination</w:t>
      </w:r>
    </w:p>
    <w:p w:rsidR="003237DF" w:rsidRDefault="003237DF" w:rsidP="003237DF">
      <w:pPr>
        <w:spacing w:before="200" w:after="100" w:line="360" w:lineRule="auto"/>
        <w:jc w:val="both"/>
        <w:rPr>
          <w:b/>
          <w:bCs/>
        </w:rPr>
      </w:pPr>
    </w:p>
    <w:p w:rsidR="003237DF" w:rsidRDefault="003237DF" w:rsidP="003237DF">
      <w:pPr>
        <w:spacing w:before="200" w:after="100" w:line="360" w:lineRule="auto"/>
        <w:jc w:val="both"/>
        <w:rPr>
          <w:b/>
          <w:bCs/>
        </w:rPr>
      </w:pPr>
    </w:p>
    <w:p w:rsidR="00FE5CD9" w:rsidRPr="003237DF" w:rsidRDefault="003237DF" w:rsidP="003237DF">
      <w:pPr>
        <w:spacing w:before="200" w:after="100" w:line="360" w:lineRule="auto"/>
        <w:jc w:val="both"/>
      </w:pPr>
      <w:r w:rsidRPr="003237DF">
        <w:rPr>
          <w:b/>
          <w:bCs/>
        </w:rPr>
        <w:t xml:space="preserve">Q1. A multinational pharmaceutical company, </w:t>
      </w:r>
      <w:proofErr w:type="spellStart"/>
      <w:r w:rsidRPr="003237DF">
        <w:rPr>
          <w:b/>
          <w:bCs/>
        </w:rPr>
        <w:t>Medix</w:t>
      </w:r>
      <w:proofErr w:type="spellEnd"/>
      <w:r w:rsidRPr="003237DF">
        <w:rPr>
          <w:b/>
          <w:bCs/>
        </w:rPr>
        <w:t xml:space="preserve"> India Pvt. Ltd., is headquartered in London but has substantial operations in both India and Southeast Asia. The company's board meets regularly in Mumbai to strategize and make decisions impacting its global business. In the financial year 2023-24, </w:t>
      </w:r>
      <w:proofErr w:type="spellStart"/>
      <w:r w:rsidRPr="003237DF">
        <w:rPr>
          <w:b/>
          <w:bCs/>
        </w:rPr>
        <w:t>Medix</w:t>
      </w:r>
      <w:proofErr w:type="spellEnd"/>
      <w:r w:rsidRPr="003237DF">
        <w:rPr>
          <w:b/>
          <w:bCs/>
        </w:rPr>
        <w:t xml:space="preserve"> India Pvt. Ltd. earned profits from Indian manufacturing activities, investment income from overseas subsidiaries, and a significant royalty from a partnership in Singapore. The finance team is uncertain about how to determine the company's residential status for tax purposes and its impact on the scope of taxable income, especially with respect to India's Income Tax Act, 1961 and the concept of POEM (Place of Effective Management). Applying the relevant provisions of the Income Tax Act, 1961, how should </w:t>
      </w:r>
      <w:proofErr w:type="spellStart"/>
      <w:r w:rsidRPr="003237DF">
        <w:rPr>
          <w:b/>
          <w:bCs/>
        </w:rPr>
        <w:t>Medix</w:t>
      </w:r>
      <w:proofErr w:type="spellEnd"/>
      <w:r w:rsidRPr="003237DF">
        <w:rPr>
          <w:b/>
          <w:bCs/>
        </w:rPr>
        <w:t xml:space="preserve"> India Pvt. Ltd. </w:t>
      </w:r>
      <w:proofErr w:type="gramStart"/>
      <w:r w:rsidRPr="003237DF">
        <w:rPr>
          <w:b/>
          <w:bCs/>
        </w:rPr>
        <w:t>determine</w:t>
      </w:r>
      <w:proofErr w:type="gramEnd"/>
      <w:r w:rsidRPr="003237DF">
        <w:rPr>
          <w:b/>
          <w:bCs/>
        </w:rPr>
        <w:t xml:space="preserve"> its residential status in India? Based on your assessment, explain what income components will be taxable in India for 2023-24, particularly considering the company's global operations and board management structure. (10 Marks)</w:t>
      </w:r>
    </w:p>
    <w:p w:rsidR="00FE5CD9" w:rsidRPr="003237DF" w:rsidRDefault="003237DF" w:rsidP="003237DF">
      <w:pPr>
        <w:spacing w:before="200" w:after="80" w:line="360" w:lineRule="auto"/>
        <w:jc w:val="both"/>
      </w:pPr>
      <w:proofErr w:type="spellStart"/>
      <w:proofErr w:type="gramStart"/>
      <w:r w:rsidRPr="003237DF">
        <w:rPr>
          <w:b/>
          <w:bCs/>
        </w:rPr>
        <w:t>Ans</w:t>
      </w:r>
      <w:proofErr w:type="spellEnd"/>
      <w:r w:rsidRPr="003237DF">
        <w:rPr>
          <w:b/>
          <w:bCs/>
        </w:rPr>
        <w:t xml:space="preserve"> 1.</w:t>
      </w:r>
      <w:proofErr w:type="gramEnd"/>
    </w:p>
    <w:p w:rsidR="00FE5CD9" w:rsidRPr="003237DF" w:rsidRDefault="003237DF" w:rsidP="003237DF">
      <w:pPr>
        <w:spacing w:before="200" w:after="100" w:line="360" w:lineRule="auto"/>
        <w:jc w:val="both"/>
      </w:pPr>
      <w:r w:rsidRPr="003237DF">
        <w:rPr>
          <w:b/>
          <w:bCs/>
        </w:rPr>
        <w:t>Introduction</w:t>
      </w:r>
    </w:p>
    <w:p w:rsidR="00FE5CD9" w:rsidRDefault="003237DF" w:rsidP="00596551">
      <w:pPr>
        <w:spacing w:before="160" w:after="160" w:line="360" w:lineRule="auto"/>
        <w:jc w:val="both"/>
      </w:pPr>
      <w:r w:rsidRPr="003237DF">
        <w:t xml:space="preserve">The determination of residential status is the threshold question in Indian income tax law because it governs the scope of taxable income. For an individual, this is determined by days of physical presence. For a company, the analysis is more complex and turns on incorporation and the concept of Place of Effective Management. </w:t>
      </w:r>
      <w:proofErr w:type="spellStart"/>
      <w:r w:rsidRPr="003237DF">
        <w:t>Medix</w:t>
      </w:r>
      <w:proofErr w:type="spellEnd"/>
      <w:r w:rsidRPr="003237DF">
        <w:t xml:space="preserve"> India Pvt. Ltd. presents a particularly instructive fact pattern: it is incorporated abroad, operates in multiple jurisdictions, </w:t>
      </w:r>
      <w:proofErr w:type="gramStart"/>
      <w:r w:rsidRPr="003237DF">
        <w:t>yet</w:t>
      </w:r>
      <w:proofErr w:type="gramEnd"/>
      <w:r w:rsidRPr="003237DF">
        <w:t xml:space="preserve"> conducts its most critical decision-making in India. Understanding how the Income Tax Act, 1961 and the POEM guidelines resolve this question is essential not just for </w:t>
      </w:r>
      <w:proofErr w:type="spellStart"/>
      <w:r w:rsidRPr="003237DF">
        <w:t>Medix's</w:t>
      </w:r>
      <w:proofErr w:type="spellEnd"/>
      <w:r w:rsidRPr="003237DF">
        <w:t xml:space="preserve"> compliance but for any multinational with Indian operational presence managing global </w:t>
      </w:r>
    </w:p>
    <w:p w:rsidR="00596551" w:rsidRDefault="00596551" w:rsidP="00596551">
      <w:pPr>
        <w:spacing w:before="160" w:after="160" w:line="360" w:lineRule="auto"/>
        <w:jc w:val="both"/>
      </w:pPr>
    </w:p>
    <w:p w:rsidR="00596551" w:rsidRDefault="00596551" w:rsidP="00596551">
      <w:pPr>
        <w:pStyle w:val="NormalWeb"/>
        <w:jc w:val="center"/>
        <w:rPr>
          <w:rStyle w:val="Strong"/>
          <w:color w:val="FF0000"/>
          <w:sz w:val="28"/>
        </w:rPr>
      </w:pPr>
      <w:r>
        <w:rPr>
          <w:rStyle w:val="Strong"/>
          <w:color w:val="FF0000"/>
          <w:sz w:val="28"/>
        </w:rPr>
        <w:lastRenderedPageBreak/>
        <w:t xml:space="preserve">Fully solved you can download </w:t>
      </w:r>
    </w:p>
    <w:p w:rsidR="00596551" w:rsidRDefault="00596551" w:rsidP="00596551">
      <w:pPr>
        <w:pStyle w:val="NormalWeb"/>
        <w:jc w:val="center"/>
      </w:pPr>
      <w:r>
        <w:rPr>
          <w:rStyle w:val="Strong"/>
          <w:color w:val="FF0000"/>
          <w:sz w:val="28"/>
        </w:rPr>
        <w:t>ASSIGNMENTS JUNE 2026</w:t>
      </w:r>
      <w:r>
        <w:rPr>
          <w:b/>
          <w:color w:val="FF0000"/>
          <w:sz w:val="28"/>
        </w:rPr>
        <w:t xml:space="preserve"> </w:t>
      </w:r>
      <w:r>
        <w:rPr>
          <w:b/>
          <w:color w:val="FF0000"/>
          <w:sz w:val="28"/>
        </w:rPr>
        <w:br/>
      </w:r>
    </w:p>
    <w:p w:rsidR="00596551" w:rsidRDefault="00596551" w:rsidP="00596551">
      <w:pPr>
        <w:pStyle w:val="NormalWeb"/>
        <w:numPr>
          <w:ilvl w:val="0"/>
          <w:numId w:val="2"/>
        </w:numPr>
        <w:jc w:val="center"/>
        <w:rPr>
          <w:b/>
          <w:color w:val="FF0000"/>
          <w:sz w:val="28"/>
        </w:rPr>
      </w:pPr>
      <w:r>
        <w:rPr>
          <w:b/>
          <w:color w:val="FF0000"/>
          <w:sz w:val="28"/>
        </w:rPr>
        <w:t>Fully Solved, High Quality</w:t>
      </w:r>
    </w:p>
    <w:p w:rsidR="00596551" w:rsidRDefault="00596551" w:rsidP="00596551">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596551" w:rsidRDefault="00596551" w:rsidP="00596551">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596551" w:rsidRDefault="00596551" w:rsidP="00596551">
      <w:pPr>
        <w:pStyle w:val="NormalWeb"/>
        <w:jc w:val="center"/>
        <w:rPr>
          <w:b/>
          <w:color w:val="FF0000"/>
          <w:sz w:val="28"/>
        </w:rPr>
      </w:pPr>
      <w:r>
        <w:rPr>
          <w:b/>
          <w:color w:val="FF0000"/>
          <w:sz w:val="28"/>
        </w:rPr>
        <w:t xml:space="preserve">Hurry! Last Date: </w:t>
      </w:r>
      <w:r>
        <w:rPr>
          <w:rStyle w:val="Strong"/>
          <w:color w:val="FF0000"/>
          <w:sz w:val="28"/>
        </w:rPr>
        <w:t>27 April 2026</w:t>
      </w:r>
    </w:p>
    <w:p w:rsidR="00596551" w:rsidRDefault="00596551" w:rsidP="00596551">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596551" w:rsidRDefault="00596551" w:rsidP="00596551">
      <w:pPr>
        <w:pStyle w:val="NormalWeb"/>
        <w:jc w:val="center"/>
        <w:rPr>
          <w:rStyle w:val="Strong"/>
          <w:color w:val="FF0000"/>
        </w:rPr>
      </w:pPr>
      <w:r>
        <w:rPr>
          <w:rStyle w:val="Strong"/>
          <w:color w:val="FF0000"/>
          <w:sz w:val="28"/>
        </w:rPr>
        <w:t>Quick Response Guaranteed!</w:t>
      </w:r>
    </w:p>
    <w:p w:rsidR="00596551" w:rsidRDefault="00596551" w:rsidP="00596551">
      <w:pPr>
        <w:pStyle w:val="NormalWeb"/>
        <w:jc w:val="center"/>
        <w:rPr>
          <w:rStyle w:val="Strong"/>
          <w:color w:val="FF0000"/>
          <w:sz w:val="28"/>
        </w:rPr>
      </w:pPr>
      <w:r>
        <w:rPr>
          <w:rStyle w:val="Strong"/>
          <w:color w:val="FF0000"/>
          <w:sz w:val="28"/>
        </w:rPr>
        <w:t>For Unique Assignment please contact on</w:t>
      </w:r>
    </w:p>
    <w:p w:rsidR="00596551" w:rsidRDefault="00596551" w:rsidP="00596551">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596551" w:rsidRDefault="00596551" w:rsidP="00596551">
      <w:pPr>
        <w:pStyle w:val="NormalWeb"/>
        <w:numPr>
          <w:ilvl w:val="0"/>
          <w:numId w:val="3"/>
        </w:numPr>
        <w:jc w:val="center"/>
        <w:rPr>
          <w:b/>
          <w:sz w:val="28"/>
        </w:rPr>
      </w:pPr>
      <w:hyperlink r:id="rId6" w:history="1">
        <w:r>
          <w:rPr>
            <w:rStyle w:val="Hyperlink"/>
            <w:b/>
            <w:sz w:val="28"/>
          </w:rPr>
          <w:t>aapkieducation@gmail.com</w:t>
        </w:r>
      </w:hyperlink>
    </w:p>
    <w:p w:rsidR="00596551" w:rsidRDefault="00596551" w:rsidP="00596551">
      <w:pPr>
        <w:pStyle w:val="NormalWeb"/>
        <w:numPr>
          <w:ilvl w:val="0"/>
          <w:numId w:val="3"/>
        </w:numPr>
        <w:jc w:val="center"/>
        <w:rPr>
          <w:b/>
          <w:sz w:val="28"/>
        </w:rPr>
      </w:pPr>
      <w:hyperlink r:id="rId7" w:tgtFrame="_new" w:history="1">
        <w:r>
          <w:rPr>
            <w:rStyle w:val="Hyperlink"/>
            <w:b/>
            <w:sz w:val="28"/>
          </w:rPr>
          <w:t>www.aapkieducation.com</w:t>
        </w:r>
      </w:hyperlink>
    </w:p>
    <w:p w:rsidR="00596551" w:rsidRDefault="00596551" w:rsidP="00596551">
      <w:pPr>
        <w:spacing w:before="160" w:after="160" w:line="360" w:lineRule="auto"/>
        <w:jc w:val="both"/>
      </w:pPr>
    </w:p>
    <w:p w:rsidR="00596551" w:rsidRPr="003237DF" w:rsidRDefault="00596551" w:rsidP="00596551">
      <w:pPr>
        <w:spacing w:before="160" w:after="160" w:line="360" w:lineRule="auto"/>
        <w:jc w:val="both"/>
      </w:pPr>
    </w:p>
    <w:p w:rsidR="003237DF" w:rsidRDefault="003237DF" w:rsidP="003237DF">
      <w:pPr>
        <w:spacing w:before="200" w:after="100" w:line="360" w:lineRule="auto"/>
        <w:jc w:val="both"/>
        <w:rPr>
          <w:b/>
          <w:bCs/>
        </w:rPr>
      </w:pPr>
    </w:p>
    <w:p w:rsidR="003237DF" w:rsidRDefault="003237DF" w:rsidP="003237DF">
      <w:pPr>
        <w:spacing w:before="200" w:after="100" w:line="360" w:lineRule="auto"/>
        <w:jc w:val="both"/>
        <w:rPr>
          <w:b/>
          <w:bCs/>
        </w:rPr>
      </w:pPr>
    </w:p>
    <w:p w:rsidR="00FE5CD9" w:rsidRPr="003237DF" w:rsidRDefault="003237DF" w:rsidP="003237DF">
      <w:pPr>
        <w:spacing w:before="200" w:after="100" w:line="360" w:lineRule="auto"/>
        <w:jc w:val="both"/>
      </w:pPr>
      <w:proofErr w:type="gramStart"/>
      <w:r w:rsidRPr="003237DF">
        <w:rPr>
          <w:b/>
          <w:bCs/>
        </w:rPr>
        <w:t>Q2 (A).</w:t>
      </w:r>
      <w:proofErr w:type="gramEnd"/>
      <w:r w:rsidRPr="003237DF">
        <w:rPr>
          <w:b/>
          <w:bCs/>
        </w:rPr>
        <w:t xml:space="preserve"> An individual, neither an Indian citizen nor a Person of Indian Origin (PIO), visits India multiple times as a consultant. His visits in the previous five years are as follows: FY 2019-20: 72 days, FY 2020-21: 112 days, FY 2021-22: 87 days, FY 2022-23: 130 days, FY 2023-24: 100 days, FY 2024-25: 75 days. In FY 2024-25, he receives the following incomes: Consulting Fee for services in India: Rs.15</w:t>
      </w:r>
      <w:proofErr w:type="gramStart"/>
      <w:r w:rsidRPr="003237DF">
        <w:rPr>
          <w:b/>
          <w:bCs/>
        </w:rPr>
        <w:t>,00,000</w:t>
      </w:r>
      <w:proofErr w:type="gramEnd"/>
      <w:r w:rsidRPr="003237DF">
        <w:rPr>
          <w:b/>
          <w:bCs/>
        </w:rPr>
        <w:t xml:space="preserve"> (Credited to UK account); Foreign interest earned in UK: Rs.4,00,000 (Credited to India account); Dividends from Indian company: Rs.2,00,000 (Paid in UK account); Rental income from flat in Mumbai: Rs.9,00,000 (Credited in India). Determine, with clear application of the multi-year day-count tests, his residential status for FY 2024-25 and the Indian taxable income out of the above items, citing relevant principles for each source. (5 Marks)</w:t>
      </w:r>
    </w:p>
    <w:p w:rsidR="00FE5CD9" w:rsidRPr="003237DF" w:rsidRDefault="003237DF" w:rsidP="003237DF">
      <w:pPr>
        <w:spacing w:before="200" w:after="80" w:line="360" w:lineRule="auto"/>
        <w:jc w:val="both"/>
      </w:pPr>
      <w:proofErr w:type="spellStart"/>
      <w:proofErr w:type="gramStart"/>
      <w:r w:rsidRPr="003237DF">
        <w:rPr>
          <w:b/>
          <w:bCs/>
        </w:rPr>
        <w:lastRenderedPageBreak/>
        <w:t>Ans</w:t>
      </w:r>
      <w:proofErr w:type="spellEnd"/>
      <w:r w:rsidRPr="003237DF">
        <w:rPr>
          <w:b/>
          <w:bCs/>
        </w:rPr>
        <w:t xml:space="preserve"> 2(A).</w:t>
      </w:r>
      <w:proofErr w:type="gramEnd"/>
    </w:p>
    <w:p w:rsidR="00FE5CD9" w:rsidRPr="003237DF" w:rsidRDefault="003237DF" w:rsidP="003237DF">
      <w:pPr>
        <w:spacing w:before="200" w:after="100" w:line="360" w:lineRule="auto"/>
        <w:jc w:val="both"/>
      </w:pPr>
      <w:r w:rsidRPr="003237DF">
        <w:rPr>
          <w:b/>
          <w:bCs/>
        </w:rPr>
        <w:t>Introduction</w:t>
      </w:r>
    </w:p>
    <w:p w:rsidR="00FE5CD9" w:rsidRPr="003237DF" w:rsidRDefault="003237DF" w:rsidP="003237DF">
      <w:pPr>
        <w:spacing w:before="160" w:after="160" w:line="360" w:lineRule="auto"/>
        <w:jc w:val="both"/>
      </w:pPr>
      <w:r w:rsidRPr="003237DF">
        <w:t>Determining the residential status of an individual for Indian income tax purposes under Section 6(1) of the Income Tax Act, 1961 requires applying a multi-year day-count analysis. The individual in this case is neither an Indian citizen nor a PIO, which means the special rules applicable to such persons under the Finance Act 2020 amendments do not apply, and the standard day-count thresholds govern the analysis. Once status is determined, the scope of taxable income in India follows directly from the rules applicable to that status category.</w:t>
      </w:r>
    </w:p>
    <w:p w:rsidR="00FE5CD9" w:rsidRPr="003237DF" w:rsidRDefault="003237DF" w:rsidP="00596551">
      <w:pPr>
        <w:spacing w:before="200" w:after="100" w:line="360" w:lineRule="auto"/>
        <w:jc w:val="both"/>
      </w:pPr>
      <w:r w:rsidRPr="003237DF">
        <w:rPr>
          <w:b/>
          <w:bCs/>
        </w:rPr>
        <w:t>Concept and Application</w:t>
      </w:r>
    </w:p>
    <w:p w:rsidR="003237DF" w:rsidRDefault="003237DF" w:rsidP="003237DF">
      <w:pPr>
        <w:spacing w:before="200" w:after="100" w:line="360" w:lineRule="auto"/>
        <w:jc w:val="both"/>
        <w:rPr>
          <w:b/>
          <w:bCs/>
        </w:rPr>
      </w:pPr>
    </w:p>
    <w:p w:rsidR="00FE5CD9" w:rsidRPr="003237DF" w:rsidRDefault="003237DF" w:rsidP="003237DF">
      <w:pPr>
        <w:spacing w:before="200" w:after="100" w:line="360" w:lineRule="auto"/>
        <w:jc w:val="both"/>
      </w:pPr>
      <w:proofErr w:type="gramStart"/>
      <w:r w:rsidRPr="003237DF">
        <w:rPr>
          <w:b/>
          <w:bCs/>
        </w:rPr>
        <w:t>Q2 (B).</w:t>
      </w:r>
      <w:proofErr w:type="gramEnd"/>
      <w:r w:rsidRPr="003237DF">
        <w:rPr>
          <w:b/>
          <w:bCs/>
        </w:rPr>
        <w:t xml:space="preserve"> A senior manager in a manufacturing MNC is posted to the company's UK subsidiary and receives a salary package comprising basic pay, a significant foreign allowance, rent-free accommodation, and school fee reimbursements. Upon repatriation to India, questions arise about taxability of overseas perquisites and allowances, available exemptions under Indian tax law, and the risk of double taxation. A tax consultant warns that misclassification could either lead to excess tax or non-compliance with Indian or international tax authorities. The global HR director seeks your evaluation to inform global assignment compensation policies. Evaluate how international assignment compensation structures should be designed for optimal tax treatment under Indian tax law. Critique the risks of misclassifying allowances and perquisites, consider potential double taxation challenges, and justify measures needed to ensure both statutory compliance and maximized net benefit for expatriate employees. (5 Marks)</w:t>
      </w:r>
    </w:p>
    <w:p w:rsidR="00FE5CD9" w:rsidRPr="003237DF" w:rsidRDefault="003237DF" w:rsidP="003237DF">
      <w:pPr>
        <w:spacing w:before="200" w:after="80" w:line="360" w:lineRule="auto"/>
        <w:jc w:val="both"/>
      </w:pPr>
      <w:proofErr w:type="spellStart"/>
      <w:proofErr w:type="gramStart"/>
      <w:r w:rsidRPr="003237DF">
        <w:rPr>
          <w:b/>
          <w:bCs/>
        </w:rPr>
        <w:t>Ans</w:t>
      </w:r>
      <w:proofErr w:type="spellEnd"/>
      <w:r w:rsidRPr="003237DF">
        <w:rPr>
          <w:b/>
          <w:bCs/>
        </w:rPr>
        <w:t xml:space="preserve"> 2(B).</w:t>
      </w:r>
      <w:proofErr w:type="gramEnd"/>
    </w:p>
    <w:p w:rsidR="00FE5CD9" w:rsidRPr="003237DF" w:rsidRDefault="003237DF" w:rsidP="003237DF">
      <w:pPr>
        <w:spacing w:before="200" w:after="100" w:line="360" w:lineRule="auto"/>
        <w:jc w:val="both"/>
      </w:pPr>
      <w:r w:rsidRPr="003237DF">
        <w:rPr>
          <w:b/>
          <w:bCs/>
        </w:rPr>
        <w:t>Introduction</w:t>
      </w:r>
    </w:p>
    <w:p w:rsidR="00596551" w:rsidRPr="003237DF" w:rsidRDefault="003237DF" w:rsidP="00596551">
      <w:pPr>
        <w:spacing w:before="160" w:after="160" w:line="360" w:lineRule="auto"/>
        <w:jc w:val="both"/>
      </w:pPr>
      <w:r w:rsidRPr="003237DF">
        <w:t xml:space="preserve">International assignment compensation is one of the most technically complex areas of Indian personal tax law because it involves simultaneous application of residential status rules, income source rules, DTAA provisions, and the classification of salary components as taxable </w:t>
      </w:r>
      <w:r w:rsidRPr="003237DF">
        <w:lastRenderedPageBreak/>
        <w:t xml:space="preserve">allowances versus exempt perquisites. For the MNC's global HR director, getting this right is not just a tax compliance matter but a talent management issue: over-taxation of expatriates reduces the net attractiveness of international assignments, while under-reporting creates regulatory exposure that can surface years later </w:t>
      </w:r>
    </w:p>
    <w:p w:rsidR="00FE5CD9" w:rsidRPr="003237DF" w:rsidRDefault="00FE5CD9" w:rsidP="003237DF">
      <w:pPr>
        <w:spacing w:before="160" w:after="160" w:line="360" w:lineRule="auto"/>
        <w:jc w:val="both"/>
      </w:pPr>
    </w:p>
    <w:sectPr w:rsidR="00FE5CD9" w:rsidRPr="003237DF" w:rsidSect="003237D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5602"/>
    <w:multiLevelType w:val="hybridMultilevel"/>
    <w:tmpl w:val="8070E98A"/>
    <w:lvl w:ilvl="0" w:tplc="DBA25960">
      <w:start w:val="1"/>
      <w:numFmt w:val="bullet"/>
      <w:lvlText w:val="●"/>
      <w:lvlJc w:val="left"/>
      <w:pPr>
        <w:ind w:left="720" w:hanging="360"/>
      </w:pPr>
    </w:lvl>
    <w:lvl w:ilvl="1" w:tplc="21A653A0">
      <w:start w:val="1"/>
      <w:numFmt w:val="bullet"/>
      <w:lvlText w:val="○"/>
      <w:lvlJc w:val="left"/>
      <w:pPr>
        <w:ind w:left="1440" w:hanging="360"/>
      </w:pPr>
    </w:lvl>
    <w:lvl w:ilvl="2" w:tplc="9EF6E822">
      <w:start w:val="1"/>
      <w:numFmt w:val="bullet"/>
      <w:lvlText w:val="■"/>
      <w:lvlJc w:val="left"/>
      <w:pPr>
        <w:ind w:left="2160" w:hanging="360"/>
      </w:pPr>
    </w:lvl>
    <w:lvl w:ilvl="3" w:tplc="F8FA3BAA">
      <w:start w:val="1"/>
      <w:numFmt w:val="bullet"/>
      <w:lvlText w:val="●"/>
      <w:lvlJc w:val="left"/>
      <w:pPr>
        <w:ind w:left="2880" w:hanging="360"/>
      </w:pPr>
    </w:lvl>
    <w:lvl w:ilvl="4" w:tplc="3EB2B506">
      <w:start w:val="1"/>
      <w:numFmt w:val="bullet"/>
      <w:lvlText w:val="○"/>
      <w:lvlJc w:val="left"/>
      <w:pPr>
        <w:ind w:left="3600" w:hanging="360"/>
      </w:pPr>
    </w:lvl>
    <w:lvl w:ilvl="5" w:tplc="4DC63C3A">
      <w:start w:val="1"/>
      <w:numFmt w:val="bullet"/>
      <w:lvlText w:val="■"/>
      <w:lvlJc w:val="left"/>
      <w:pPr>
        <w:ind w:left="4320" w:hanging="360"/>
      </w:pPr>
    </w:lvl>
    <w:lvl w:ilvl="6" w:tplc="DEE2FEFE">
      <w:start w:val="1"/>
      <w:numFmt w:val="bullet"/>
      <w:lvlText w:val="●"/>
      <w:lvlJc w:val="left"/>
      <w:pPr>
        <w:ind w:left="5040" w:hanging="360"/>
      </w:pPr>
    </w:lvl>
    <w:lvl w:ilvl="7" w:tplc="08C6F450">
      <w:start w:val="1"/>
      <w:numFmt w:val="bullet"/>
      <w:lvlText w:val="●"/>
      <w:lvlJc w:val="left"/>
      <w:pPr>
        <w:ind w:left="5760" w:hanging="360"/>
      </w:pPr>
    </w:lvl>
    <w:lvl w:ilvl="8" w:tplc="54DC0DFA">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120"/>
  <w:displayHorizontalDrawingGridEvery w:val="2"/>
  <w:characterSpacingControl w:val="doNotCompress"/>
  <w:compat/>
  <w:rsids>
    <w:rsidRoot w:val="00FE5CD9"/>
    <w:rsid w:val="001D3170"/>
    <w:rsid w:val="003237DF"/>
    <w:rsid w:val="00596551"/>
    <w:rsid w:val="00FE5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70"/>
  </w:style>
  <w:style w:type="paragraph" w:styleId="Heading1">
    <w:name w:val="heading 1"/>
    <w:qFormat/>
    <w:rsid w:val="00FE5CD9"/>
    <w:pPr>
      <w:outlineLvl w:val="0"/>
    </w:pPr>
    <w:rPr>
      <w:color w:val="2E74B5"/>
      <w:sz w:val="32"/>
      <w:szCs w:val="32"/>
    </w:rPr>
  </w:style>
  <w:style w:type="paragraph" w:styleId="Heading2">
    <w:name w:val="heading 2"/>
    <w:qFormat/>
    <w:rsid w:val="00FE5CD9"/>
    <w:pPr>
      <w:outlineLvl w:val="1"/>
    </w:pPr>
    <w:rPr>
      <w:color w:val="2E74B5"/>
      <w:sz w:val="26"/>
      <w:szCs w:val="26"/>
    </w:rPr>
  </w:style>
  <w:style w:type="paragraph" w:styleId="Heading3">
    <w:name w:val="heading 3"/>
    <w:qFormat/>
    <w:rsid w:val="00FE5CD9"/>
    <w:pPr>
      <w:outlineLvl w:val="2"/>
    </w:pPr>
    <w:rPr>
      <w:color w:val="1F4D78"/>
    </w:rPr>
  </w:style>
  <w:style w:type="paragraph" w:styleId="Heading4">
    <w:name w:val="heading 4"/>
    <w:qFormat/>
    <w:rsid w:val="00FE5CD9"/>
    <w:pPr>
      <w:outlineLvl w:val="3"/>
    </w:pPr>
    <w:rPr>
      <w:i/>
      <w:iCs/>
      <w:color w:val="2E74B5"/>
    </w:rPr>
  </w:style>
  <w:style w:type="paragraph" w:styleId="Heading5">
    <w:name w:val="heading 5"/>
    <w:qFormat/>
    <w:rsid w:val="00FE5CD9"/>
    <w:pPr>
      <w:outlineLvl w:val="4"/>
    </w:pPr>
    <w:rPr>
      <w:color w:val="2E74B5"/>
    </w:rPr>
  </w:style>
  <w:style w:type="paragraph" w:styleId="Heading6">
    <w:name w:val="heading 6"/>
    <w:qFormat/>
    <w:rsid w:val="00FE5CD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E5CD9"/>
    <w:rPr>
      <w:sz w:val="56"/>
      <w:szCs w:val="56"/>
    </w:rPr>
  </w:style>
  <w:style w:type="paragraph" w:customStyle="1" w:styleId="Strong1">
    <w:name w:val="Strong1"/>
    <w:qFormat/>
    <w:rsid w:val="00FE5CD9"/>
    <w:rPr>
      <w:b/>
      <w:bCs/>
    </w:rPr>
  </w:style>
  <w:style w:type="paragraph" w:styleId="ListParagraph">
    <w:name w:val="List Paragraph"/>
    <w:qFormat/>
    <w:rsid w:val="00FE5CD9"/>
  </w:style>
  <w:style w:type="character" w:styleId="Hyperlink">
    <w:name w:val="Hyperlink"/>
    <w:uiPriority w:val="99"/>
    <w:unhideWhenUsed/>
    <w:rsid w:val="00FE5CD9"/>
    <w:rPr>
      <w:color w:val="0563C1"/>
      <w:u w:val="single"/>
    </w:rPr>
  </w:style>
  <w:style w:type="character" w:styleId="FootnoteReference">
    <w:name w:val="footnote reference"/>
    <w:uiPriority w:val="99"/>
    <w:semiHidden/>
    <w:unhideWhenUsed/>
    <w:rsid w:val="00FE5CD9"/>
    <w:rPr>
      <w:vertAlign w:val="superscript"/>
    </w:rPr>
  </w:style>
  <w:style w:type="paragraph" w:styleId="FootnoteText">
    <w:name w:val="footnote text"/>
    <w:link w:val="FootnoteTextChar"/>
    <w:uiPriority w:val="99"/>
    <w:semiHidden/>
    <w:unhideWhenUsed/>
    <w:rsid w:val="00FE5CD9"/>
    <w:rPr>
      <w:sz w:val="20"/>
      <w:szCs w:val="20"/>
    </w:rPr>
  </w:style>
  <w:style w:type="character" w:customStyle="1" w:styleId="FootnoteTextChar">
    <w:name w:val="Footnote Text Char"/>
    <w:link w:val="FootnoteText"/>
    <w:uiPriority w:val="99"/>
    <w:semiHidden/>
    <w:unhideWhenUsed/>
    <w:rsid w:val="00FE5CD9"/>
    <w:rPr>
      <w:sz w:val="20"/>
      <w:szCs w:val="20"/>
    </w:rPr>
  </w:style>
  <w:style w:type="paragraph" w:styleId="NormalWeb">
    <w:name w:val="Normal (Web)"/>
    <w:basedOn w:val="Normal"/>
    <w:uiPriority w:val="99"/>
    <w:semiHidden/>
    <w:unhideWhenUsed/>
    <w:rsid w:val="00596551"/>
    <w:pPr>
      <w:spacing w:before="100" w:beforeAutospacing="1" w:after="100" w:afterAutospacing="1"/>
    </w:pPr>
  </w:style>
  <w:style w:type="character" w:styleId="Strong">
    <w:name w:val="Strong"/>
    <w:basedOn w:val="DefaultParagraphFont"/>
    <w:uiPriority w:val="22"/>
    <w:qFormat/>
    <w:rsid w:val="00596551"/>
    <w:rPr>
      <w:b/>
      <w:bCs/>
    </w:rPr>
  </w:style>
</w:styles>
</file>

<file path=word/webSettings.xml><?xml version="1.0" encoding="utf-8"?>
<w:webSettings xmlns:r="http://schemas.openxmlformats.org/officeDocument/2006/relationships" xmlns:w="http://schemas.openxmlformats.org/wordprocessingml/2006/main">
  <w:divs>
    <w:div w:id="191320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2026-03-27T19:38:00Z</dcterms:created>
  <dcterms:modified xsi:type="dcterms:W3CDTF">2026-03-30T05:28:00Z</dcterms:modified>
</cp:coreProperties>
</file>