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9A0" w:rsidRPr="0084006E" w:rsidRDefault="002709A0" w:rsidP="002709A0">
      <w:pPr>
        <w:spacing w:after="240" w:line="360" w:lineRule="auto"/>
        <w:jc w:val="center"/>
        <w:rPr>
          <w:rFonts w:eastAsia="Arial"/>
          <w:b/>
          <w:sz w:val="24"/>
          <w:szCs w:val="24"/>
        </w:rPr>
      </w:pPr>
      <w:r w:rsidRPr="0084006E">
        <w:rPr>
          <w:rFonts w:eastAsia="Arial"/>
          <w:b/>
          <w:sz w:val="24"/>
          <w:szCs w:val="24"/>
        </w:rPr>
        <w:t>International Finance</w:t>
      </w:r>
    </w:p>
    <w:p w:rsidR="002709A0" w:rsidRPr="0084006E" w:rsidRDefault="002709A0" w:rsidP="002709A0">
      <w:pPr>
        <w:spacing w:after="240" w:line="360" w:lineRule="auto"/>
        <w:jc w:val="center"/>
        <w:rPr>
          <w:rFonts w:eastAsia="Arial"/>
          <w:b/>
          <w:sz w:val="24"/>
          <w:szCs w:val="24"/>
        </w:rPr>
      </w:pPr>
      <w:r w:rsidRPr="0084006E">
        <w:rPr>
          <w:rFonts w:eastAsia="Arial"/>
          <w:b/>
          <w:sz w:val="24"/>
          <w:szCs w:val="24"/>
        </w:rPr>
        <w:t>Sep 2025 Examination</w:t>
      </w:r>
    </w:p>
    <w:p w:rsidR="002709A0" w:rsidRDefault="002709A0" w:rsidP="002709A0">
      <w:pPr>
        <w:spacing w:after="240" w:line="360" w:lineRule="auto"/>
        <w:jc w:val="both"/>
        <w:rPr>
          <w:b/>
          <w:sz w:val="24"/>
          <w:szCs w:val="24"/>
        </w:rPr>
      </w:pPr>
    </w:p>
    <w:p w:rsidR="0084006E" w:rsidRPr="0084006E" w:rsidRDefault="0084006E" w:rsidP="002709A0">
      <w:pPr>
        <w:spacing w:after="240" w:line="360" w:lineRule="auto"/>
        <w:jc w:val="both"/>
        <w:rPr>
          <w:b/>
          <w:sz w:val="24"/>
          <w:szCs w:val="24"/>
        </w:rPr>
      </w:pPr>
    </w:p>
    <w:p w:rsidR="002709A0" w:rsidRPr="0084006E" w:rsidRDefault="002709A0" w:rsidP="002709A0">
      <w:pPr>
        <w:spacing w:after="240" w:line="360" w:lineRule="auto"/>
        <w:jc w:val="both"/>
        <w:rPr>
          <w:b/>
          <w:sz w:val="24"/>
          <w:szCs w:val="24"/>
        </w:rPr>
      </w:pPr>
      <w:r w:rsidRPr="0084006E">
        <w:rPr>
          <w:b/>
          <w:sz w:val="24"/>
          <w:szCs w:val="24"/>
        </w:rPr>
        <w:t>Q1. A mid-sized Indian manufacturing company is planning to establish a subsidiary in Europe to expand its global footprint. The CFO is evaluating whether to raise long- term capital through international equity or debt markets. The company has access to both domestic and international financial markets, but is unsure how market segmentation or integration will affect the cost of capital and investor interest. The CFO must also consider the impact of currency risk, regulatory frameworks, and the need to diversify the investor base. Based on the scenario, how should the CFO of a mid-sized Indian manufacturing company strategically approach raising long-term capital for a new overseas subsidiary, considering the options of international equity and debt financing, and the implications of market segmentation versus integration? (10 Marks)</w:t>
      </w:r>
    </w:p>
    <w:p w:rsidR="0084006E" w:rsidRDefault="0084006E" w:rsidP="0053246A">
      <w:pPr>
        <w:spacing w:after="240" w:line="360" w:lineRule="auto"/>
        <w:jc w:val="both"/>
        <w:rPr>
          <w:b/>
          <w:bCs/>
          <w:sz w:val="24"/>
          <w:szCs w:val="24"/>
        </w:rPr>
      </w:pPr>
      <w:proofErr w:type="spellStart"/>
      <w:proofErr w:type="gramStart"/>
      <w:r>
        <w:rPr>
          <w:b/>
          <w:bCs/>
          <w:sz w:val="24"/>
          <w:szCs w:val="24"/>
        </w:rPr>
        <w:t>Ans</w:t>
      </w:r>
      <w:proofErr w:type="spellEnd"/>
      <w:r>
        <w:rPr>
          <w:b/>
          <w:bCs/>
          <w:sz w:val="24"/>
          <w:szCs w:val="24"/>
        </w:rPr>
        <w:t xml:space="preserve"> 1.</w:t>
      </w:r>
      <w:proofErr w:type="gramEnd"/>
    </w:p>
    <w:p w:rsidR="0084006E" w:rsidRDefault="0053246A" w:rsidP="0053246A">
      <w:pPr>
        <w:spacing w:after="240" w:line="360" w:lineRule="auto"/>
        <w:jc w:val="both"/>
        <w:rPr>
          <w:b/>
          <w:bCs/>
          <w:sz w:val="24"/>
          <w:szCs w:val="24"/>
        </w:rPr>
      </w:pPr>
      <w:r w:rsidRPr="0053246A">
        <w:rPr>
          <w:b/>
          <w:bCs/>
          <w:sz w:val="24"/>
          <w:szCs w:val="24"/>
        </w:rPr>
        <w:t xml:space="preserve">Introduction </w:t>
      </w:r>
    </w:p>
    <w:p w:rsidR="002709A0" w:rsidRDefault="0053246A" w:rsidP="00B269D7">
      <w:pPr>
        <w:spacing w:after="240" w:line="360" w:lineRule="auto"/>
        <w:jc w:val="both"/>
        <w:rPr>
          <w:sz w:val="24"/>
          <w:szCs w:val="24"/>
        </w:rPr>
      </w:pPr>
      <w:r w:rsidRPr="0053246A">
        <w:rPr>
          <w:sz w:val="24"/>
          <w:szCs w:val="24"/>
        </w:rPr>
        <w:t xml:space="preserve">In today’s globalized economy, mid-sized Indian manufacturing companies are increasingly looking to expand their operations beyond domestic boundaries to access new markets, gain competitive advantages, and diversify risks. As part of such a growth strategy, establishing a subsidiary in Europe is a significant milestone that necessitates a well-planned financial strategy, especially concerning long-term capital raising. The Chief Financial Officer (CFO) plays a crucial role in evaluating whether to raise funds through international equity or debt markets. This decision must be made by considering various factors including market segmentation vs. integration, currency risk, interest rate differentials, regulatory conditions, and the </w:t>
      </w:r>
    </w:p>
    <w:p w:rsidR="00B269D7" w:rsidRDefault="00B269D7" w:rsidP="00B269D7">
      <w:pPr>
        <w:pStyle w:val="NormalWeb"/>
        <w:jc w:val="center"/>
        <w:rPr>
          <w:rStyle w:val="Strong"/>
          <w:color w:val="FF0000"/>
          <w:sz w:val="28"/>
        </w:rPr>
      </w:pPr>
      <w:r>
        <w:rPr>
          <w:rStyle w:val="Strong"/>
          <w:color w:val="FF0000"/>
          <w:sz w:val="28"/>
        </w:rPr>
        <w:t xml:space="preserve">Fully solved you can download </w:t>
      </w:r>
    </w:p>
    <w:p w:rsidR="00B269D7" w:rsidRDefault="00B269D7" w:rsidP="00B269D7">
      <w:pPr>
        <w:pStyle w:val="NormalWeb"/>
        <w:jc w:val="center"/>
      </w:pPr>
      <w:r>
        <w:rPr>
          <w:rStyle w:val="Strong"/>
          <w:color w:val="FF0000"/>
          <w:sz w:val="28"/>
        </w:rPr>
        <w:t>ASSIGNMENTS SEP 2025</w:t>
      </w:r>
      <w:r>
        <w:rPr>
          <w:b/>
          <w:color w:val="FF0000"/>
          <w:sz w:val="28"/>
        </w:rPr>
        <w:t xml:space="preserve"> </w:t>
      </w:r>
      <w:r>
        <w:rPr>
          <w:b/>
          <w:color w:val="FF0000"/>
          <w:sz w:val="28"/>
        </w:rPr>
        <w:br/>
      </w:r>
    </w:p>
    <w:p w:rsidR="00B269D7" w:rsidRDefault="00B269D7" w:rsidP="00B269D7">
      <w:pPr>
        <w:pStyle w:val="NormalWeb"/>
        <w:numPr>
          <w:ilvl w:val="0"/>
          <w:numId w:val="9"/>
        </w:numPr>
        <w:jc w:val="center"/>
        <w:rPr>
          <w:b/>
          <w:color w:val="FF0000"/>
          <w:sz w:val="28"/>
        </w:rPr>
      </w:pPr>
      <w:r>
        <w:rPr>
          <w:b/>
          <w:color w:val="FF0000"/>
          <w:sz w:val="28"/>
        </w:rPr>
        <w:lastRenderedPageBreak/>
        <w:t>Fully Solved, High Quality</w:t>
      </w:r>
    </w:p>
    <w:p w:rsidR="00B269D7" w:rsidRDefault="00B269D7" w:rsidP="00B269D7">
      <w:pPr>
        <w:pStyle w:val="NormalWeb"/>
        <w:numPr>
          <w:ilvl w:val="0"/>
          <w:numId w:val="9"/>
        </w:numPr>
        <w:jc w:val="center"/>
        <w:rPr>
          <w:rStyle w:val="Strong"/>
          <w:bCs w:val="0"/>
        </w:rPr>
      </w:pPr>
      <w:r>
        <w:rPr>
          <w:b/>
          <w:color w:val="FF0000"/>
          <w:sz w:val="28"/>
        </w:rPr>
        <w:t xml:space="preserve">Lowest Price Guarantee: </w:t>
      </w:r>
      <w:r>
        <w:rPr>
          <w:rStyle w:val="Strong"/>
          <w:color w:val="FF0000"/>
          <w:sz w:val="28"/>
          <w:highlight w:val="yellow"/>
        </w:rPr>
        <w:t>Just ₹299 per Assignment</w:t>
      </w:r>
      <w:r>
        <w:rPr>
          <w:rStyle w:val="Strong"/>
          <w:color w:val="FF0000"/>
          <w:sz w:val="28"/>
        </w:rPr>
        <w:t>!</w:t>
      </w:r>
    </w:p>
    <w:p w:rsidR="00B269D7" w:rsidRDefault="00B269D7" w:rsidP="00B269D7">
      <w:pPr>
        <w:pStyle w:val="NormalWeb"/>
        <w:numPr>
          <w:ilvl w:val="0"/>
          <w:numId w:val="9"/>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B269D7" w:rsidRDefault="00B269D7" w:rsidP="00B269D7">
      <w:pPr>
        <w:pStyle w:val="NormalWeb"/>
        <w:jc w:val="center"/>
        <w:rPr>
          <w:b/>
          <w:color w:val="FF0000"/>
          <w:sz w:val="28"/>
        </w:rPr>
      </w:pPr>
      <w:r>
        <w:rPr>
          <w:b/>
          <w:color w:val="FF0000"/>
          <w:sz w:val="28"/>
        </w:rPr>
        <w:t xml:space="preserve">Hurry! Last Date: </w:t>
      </w:r>
      <w:r>
        <w:rPr>
          <w:rStyle w:val="Strong"/>
          <w:color w:val="FF0000"/>
          <w:sz w:val="28"/>
        </w:rPr>
        <w:t>29 Aug 2025</w:t>
      </w:r>
    </w:p>
    <w:p w:rsidR="00B269D7" w:rsidRDefault="00B269D7" w:rsidP="00B269D7">
      <w:pPr>
        <w:pStyle w:val="NormalWeb"/>
        <w:numPr>
          <w:ilvl w:val="0"/>
          <w:numId w:val="10"/>
        </w:numPr>
        <w:jc w:val="center"/>
        <w:rPr>
          <w:b/>
          <w:sz w:val="28"/>
          <w:highlight w:val="yellow"/>
        </w:rPr>
      </w:pPr>
      <w:r>
        <w:rPr>
          <w:b/>
          <w:sz w:val="28"/>
          <w:highlight w:val="yellow"/>
        </w:rPr>
        <w:t xml:space="preserve">Order Now: </w:t>
      </w:r>
      <w:hyperlink r:id="rId7" w:tgtFrame="_new" w:history="1">
        <w:r>
          <w:rPr>
            <w:rStyle w:val="Hyperlink"/>
            <w:b/>
            <w:sz w:val="28"/>
            <w:highlight w:val="yellow"/>
          </w:rPr>
          <w:t>nmimsassignment.com/online-buy-2/</w:t>
        </w:r>
      </w:hyperlink>
    </w:p>
    <w:p w:rsidR="00B269D7" w:rsidRDefault="00B269D7" w:rsidP="00B269D7">
      <w:pPr>
        <w:pStyle w:val="NormalWeb"/>
        <w:jc w:val="center"/>
        <w:rPr>
          <w:rStyle w:val="Strong"/>
          <w:color w:val="FF0000"/>
        </w:rPr>
      </w:pPr>
      <w:r>
        <w:rPr>
          <w:rStyle w:val="Strong"/>
          <w:color w:val="FF0000"/>
          <w:sz w:val="28"/>
        </w:rPr>
        <w:t>Quick Response Guaranteed!</w:t>
      </w:r>
    </w:p>
    <w:p w:rsidR="00B269D7" w:rsidRDefault="00B269D7" w:rsidP="00B269D7">
      <w:pPr>
        <w:pStyle w:val="NormalWeb"/>
        <w:jc w:val="center"/>
        <w:rPr>
          <w:rStyle w:val="Strong"/>
          <w:color w:val="FF0000"/>
          <w:sz w:val="28"/>
        </w:rPr>
      </w:pPr>
      <w:r>
        <w:rPr>
          <w:rStyle w:val="Strong"/>
          <w:color w:val="FF0000"/>
          <w:sz w:val="28"/>
        </w:rPr>
        <w:t>For Unique Assignment please contact on</w:t>
      </w:r>
    </w:p>
    <w:p w:rsidR="00B269D7" w:rsidRDefault="00B269D7" w:rsidP="00B269D7">
      <w:pPr>
        <w:pStyle w:val="NormalWeb"/>
        <w:numPr>
          <w:ilvl w:val="0"/>
          <w:numId w:val="10"/>
        </w:numPr>
        <w:jc w:val="center"/>
      </w:pPr>
      <w:proofErr w:type="spellStart"/>
      <w:r>
        <w:rPr>
          <w:b/>
          <w:sz w:val="28"/>
        </w:rPr>
        <w:t>WhatsApp</w:t>
      </w:r>
      <w:proofErr w:type="spellEnd"/>
      <w:r>
        <w:rPr>
          <w:b/>
          <w:sz w:val="28"/>
        </w:rPr>
        <w:t xml:space="preserve">: </w:t>
      </w:r>
      <w:r>
        <w:rPr>
          <w:rStyle w:val="Strong"/>
          <w:sz w:val="28"/>
        </w:rPr>
        <w:t>8791490301</w:t>
      </w:r>
    </w:p>
    <w:p w:rsidR="00B269D7" w:rsidRDefault="00B269D7" w:rsidP="00B269D7">
      <w:pPr>
        <w:pStyle w:val="NormalWeb"/>
        <w:numPr>
          <w:ilvl w:val="0"/>
          <w:numId w:val="10"/>
        </w:numPr>
        <w:jc w:val="center"/>
        <w:rPr>
          <w:b/>
          <w:sz w:val="28"/>
        </w:rPr>
      </w:pPr>
      <w:hyperlink r:id="rId8" w:history="1">
        <w:r>
          <w:rPr>
            <w:rStyle w:val="Hyperlink"/>
            <w:b/>
            <w:sz w:val="28"/>
          </w:rPr>
          <w:t>aapkieducation@gmail.com</w:t>
        </w:r>
      </w:hyperlink>
    </w:p>
    <w:p w:rsidR="00B269D7" w:rsidRDefault="00B269D7" w:rsidP="00B269D7">
      <w:pPr>
        <w:spacing w:after="240" w:line="360" w:lineRule="auto"/>
        <w:jc w:val="both"/>
        <w:rPr>
          <w:sz w:val="24"/>
          <w:szCs w:val="24"/>
        </w:rPr>
      </w:pPr>
      <w:hyperlink r:id="rId9" w:tgtFrame="_new" w:history="1">
        <w:r>
          <w:rPr>
            <w:rStyle w:val="Hyperlink"/>
            <w:b/>
            <w:sz w:val="28"/>
          </w:rPr>
          <w:t>www.aapkieducation.com</w:t>
        </w:r>
      </w:hyperlink>
    </w:p>
    <w:p w:rsidR="0084006E" w:rsidRPr="00D70E2E" w:rsidRDefault="0084006E" w:rsidP="002709A0">
      <w:pPr>
        <w:spacing w:after="240" w:line="360" w:lineRule="auto"/>
        <w:jc w:val="both"/>
        <w:rPr>
          <w:sz w:val="24"/>
          <w:szCs w:val="24"/>
        </w:rPr>
      </w:pPr>
    </w:p>
    <w:p w:rsidR="002709A0" w:rsidRDefault="002709A0" w:rsidP="002709A0">
      <w:pPr>
        <w:spacing w:after="240" w:line="360" w:lineRule="auto"/>
        <w:jc w:val="both"/>
        <w:rPr>
          <w:b/>
          <w:sz w:val="24"/>
          <w:szCs w:val="24"/>
        </w:rPr>
      </w:pPr>
      <w:r w:rsidRPr="0084006E">
        <w:rPr>
          <w:b/>
          <w:sz w:val="24"/>
          <w:szCs w:val="24"/>
        </w:rPr>
        <w:t>Q2. A multinational corporation with subsidiaries in Asia, Europe, and North America is evaluating whether to raise equity capital through cross-listing on multiple international stock exchanges. The CFO is aware that the degree of global market integration will influence the potential benefits. In a highly integrated market, the cost of capital may not decrease, while in a segmented market, there may be significant advantages. The board requests an assessment of how the company’s financial strategy should adapt to each market condition. Assess the implications of market integration versus market segmentation for a multinational corporation (MNC) seeking to lower its cost of capital through international equity financing. How should the MNC’s financial strategy differ under each scenario? (10 Marks)</w:t>
      </w:r>
    </w:p>
    <w:p w:rsidR="0084006E" w:rsidRPr="0084006E" w:rsidRDefault="0084006E" w:rsidP="002709A0">
      <w:pPr>
        <w:spacing w:after="240" w:line="360" w:lineRule="auto"/>
        <w:jc w:val="both"/>
        <w:rPr>
          <w:b/>
          <w:sz w:val="24"/>
          <w:szCs w:val="24"/>
        </w:rPr>
      </w:pPr>
      <w:proofErr w:type="spellStart"/>
      <w:proofErr w:type="gramStart"/>
      <w:r>
        <w:rPr>
          <w:b/>
          <w:sz w:val="24"/>
          <w:szCs w:val="24"/>
        </w:rPr>
        <w:t>Ans</w:t>
      </w:r>
      <w:proofErr w:type="spellEnd"/>
      <w:r>
        <w:rPr>
          <w:b/>
          <w:sz w:val="24"/>
          <w:szCs w:val="24"/>
        </w:rPr>
        <w:t xml:space="preserve"> 2.</w:t>
      </w:r>
      <w:proofErr w:type="gramEnd"/>
    </w:p>
    <w:p w:rsidR="0084006E" w:rsidRDefault="0053246A" w:rsidP="0053246A">
      <w:pPr>
        <w:spacing w:after="240" w:line="360" w:lineRule="auto"/>
        <w:jc w:val="both"/>
        <w:rPr>
          <w:b/>
          <w:bCs/>
          <w:sz w:val="24"/>
          <w:szCs w:val="24"/>
        </w:rPr>
      </w:pPr>
      <w:r w:rsidRPr="0053246A">
        <w:rPr>
          <w:b/>
          <w:bCs/>
          <w:sz w:val="24"/>
          <w:szCs w:val="24"/>
        </w:rPr>
        <w:t xml:space="preserve">Introduction </w:t>
      </w:r>
    </w:p>
    <w:p w:rsidR="0053246A" w:rsidRPr="0053246A" w:rsidRDefault="0053246A" w:rsidP="00B269D7">
      <w:pPr>
        <w:spacing w:after="240" w:line="360" w:lineRule="auto"/>
        <w:jc w:val="both"/>
        <w:rPr>
          <w:sz w:val="24"/>
          <w:szCs w:val="24"/>
        </w:rPr>
      </w:pPr>
      <w:r w:rsidRPr="0053246A">
        <w:rPr>
          <w:sz w:val="24"/>
          <w:szCs w:val="24"/>
        </w:rPr>
        <w:t xml:space="preserve">In a rapidly globalizing economy, multinational corporations (MNCs) increasingly explore cross-listing on multiple international stock exchanges as a strategic move to raise equity capital, enhance visibility, and diversify their investor base. However, the decision to cross-list is highly influenced by the degree of market integration or segmentation in the global financial system. In integrated markets, capital moves freely across borders, reducing </w:t>
      </w:r>
      <w:r w:rsidRPr="0053246A">
        <w:rPr>
          <w:sz w:val="24"/>
          <w:szCs w:val="24"/>
        </w:rPr>
        <w:lastRenderedPageBreak/>
        <w:t xml:space="preserve">arbitrage opportunities and making the cost of capital uniform. In contrast, segmented markets, constrained by </w:t>
      </w:r>
    </w:p>
    <w:p w:rsidR="002709A0" w:rsidRPr="00D70E2E" w:rsidRDefault="002709A0" w:rsidP="002709A0">
      <w:pPr>
        <w:spacing w:after="240" w:line="360" w:lineRule="auto"/>
        <w:jc w:val="both"/>
        <w:rPr>
          <w:sz w:val="24"/>
          <w:szCs w:val="24"/>
        </w:rPr>
      </w:pPr>
    </w:p>
    <w:p w:rsidR="002709A0" w:rsidRPr="00D70E2E" w:rsidRDefault="002709A0" w:rsidP="002709A0">
      <w:pPr>
        <w:spacing w:after="240" w:line="360" w:lineRule="auto"/>
        <w:jc w:val="both"/>
        <w:rPr>
          <w:sz w:val="24"/>
          <w:szCs w:val="24"/>
        </w:rPr>
      </w:pPr>
    </w:p>
    <w:p w:rsidR="002709A0" w:rsidRPr="0084006E" w:rsidRDefault="002709A0" w:rsidP="002709A0">
      <w:pPr>
        <w:spacing w:after="240" w:line="360" w:lineRule="auto"/>
        <w:jc w:val="both"/>
        <w:rPr>
          <w:b/>
          <w:sz w:val="24"/>
          <w:szCs w:val="24"/>
        </w:rPr>
      </w:pPr>
      <w:proofErr w:type="gramStart"/>
      <w:r w:rsidRPr="0084006E">
        <w:rPr>
          <w:b/>
          <w:sz w:val="24"/>
          <w:szCs w:val="24"/>
        </w:rPr>
        <w:t>Q3(</w:t>
      </w:r>
      <w:proofErr w:type="gramEnd"/>
      <w:r w:rsidRPr="0084006E">
        <w:rPr>
          <w:b/>
          <w:sz w:val="24"/>
          <w:szCs w:val="24"/>
        </w:rPr>
        <w:t>A). A successful Indian SME has outgrown the domestic market and is now considering international expansion. The company has so far relied only on domestic sources for both short-term and long-term financing. The CEO wants a strategic roadmap to access international financial markets, manage associated risks, and ensure sustainable growth. Design a strategic roadmap for a domestic company to transition from relying solely on domestic finance to effectively leveraging international financial markets for both short-term and long-term needs. (5 Marks)</w:t>
      </w:r>
    </w:p>
    <w:p w:rsidR="0084006E" w:rsidRDefault="0084006E" w:rsidP="0053246A">
      <w:pPr>
        <w:spacing w:after="240" w:line="360" w:lineRule="auto"/>
        <w:jc w:val="both"/>
        <w:rPr>
          <w:b/>
          <w:bCs/>
          <w:sz w:val="24"/>
          <w:szCs w:val="24"/>
        </w:rPr>
      </w:pPr>
      <w:proofErr w:type="spellStart"/>
      <w:proofErr w:type="gramStart"/>
      <w:r>
        <w:rPr>
          <w:b/>
          <w:bCs/>
          <w:sz w:val="24"/>
          <w:szCs w:val="24"/>
        </w:rPr>
        <w:t>Ans</w:t>
      </w:r>
      <w:proofErr w:type="spellEnd"/>
      <w:r>
        <w:rPr>
          <w:b/>
          <w:bCs/>
          <w:sz w:val="24"/>
          <w:szCs w:val="24"/>
        </w:rPr>
        <w:t xml:space="preserve"> 3a.</w:t>
      </w:r>
      <w:proofErr w:type="gramEnd"/>
    </w:p>
    <w:p w:rsidR="0053246A" w:rsidRPr="0053246A" w:rsidRDefault="0084006E" w:rsidP="0053246A">
      <w:pPr>
        <w:spacing w:after="240" w:line="360" w:lineRule="auto"/>
        <w:jc w:val="both"/>
        <w:rPr>
          <w:b/>
          <w:bCs/>
          <w:sz w:val="24"/>
          <w:szCs w:val="24"/>
        </w:rPr>
      </w:pPr>
      <w:r>
        <w:rPr>
          <w:b/>
          <w:bCs/>
          <w:sz w:val="24"/>
          <w:szCs w:val="24"/>
        </w:rPr>
        <w:t xml:space="preserve">Introduction </w:t>
      </w:r>
    </w:p>
    <w:p w:rsidR="0084006E" w:rsidRDefault="0053246A" w:rsidP="00B269D7">
      <w:pPr>
        <w:spacing w:after="240" w:line="360" w:lineRule="auto"/>
        <w:jc w:val="both"/>
        <w:rPr>
          <w:sz w:val="24"/>
          <w:szCs w:val="24"/>
        </w:rPr>
      </w:pPr>
      <w:r w:rsidRPr="0053246A">
        <w:rPr>
          <w:sz w:val="24"/>
          <w:szCs w:val="24"/>
        </w:rPr>
        <w:t xml:space="preserve">As Indian SMEs mature and saturate their domestic markets, international expansion becomes a logical next step to sustain growth and competitiveness. However, such expansion demands substantial capital and a more diversified financing strategy. Traditionally reliant on domestic finance, the SME must now explore international financial markets to access lower-cost capital, hedge against currency risks, and strengthen global operations. A well-defined strategic roadmap is </w:t>
      </w:r>
    </w:p>
    <w:p w:rsidR="00B269D7" w:rsidRPr="00D70E2E" w:rsidRDefault="00B269D7" w:rsidP="00B269D7">
      <w:pPr>
        <w:spacing w:after="240" w:line="360" w:lineRule="auto"/>
        <w:jc w:val="both"/>
        <w:rPr>
          <w:sz w:val="24"/>
          <w:szCs w:val="24"/>
        </w:rPr>
      </w:pPr>
    </w:p>
    <w:p w:rsidR="0053246A" w:rsidRPr="0084006E" w:rsidRDefault="0084006E" w:rsidP="0053246A">
      <w:pPr>
        <w:spacing w:after="240" w:line="360" w:lineRule="auto"/>
        <w:jc w:val="both"/>
        <w:rPr>
          <w:b/>
          <w:sz w:val="24"/>
          <w:szCs w:val="24"/>
        </w:rPr>
      </w:pPr>
      <w:r w:rsidRPr="0084006E">
        <w:rPr>
          <w:b/>
          <w:sz w:val="24"/>
          <w:szCs w:val="24"/>
        </w:rPr>
        <w:t>Q3 (B) An investment bank is expanding its advisory services to help Indian companies raise capital abroad. Many clients are interested in listing via depository receipts (GDRs/ADRs) but are unfamiliar with the process, regulatory requirements, and investor expectations in foreign markets. The bank must design a comprehensive service offering. Create a strategic plan for an investment bank to assist Indian companies in accessing international equity markets through depository receipts, considering regulatory, market, and investor perspectives. (5 Marks)</w:t>
      </w:r>
    </w:p>
    <w:p w:rsidR="0053246A" w:rsidRPr="0053246A" w:rsidRDefault="007A4BFE" w:rsidP="0053246A">
      <w:pPr>
        <w:spacing w:after="240" w:line="360" w:lineRule="auto"/>
        <w:jc w:val="both"/>
        <w:rPr>
          <w:sz w:val="24"/>
          <w:szCs w:val="24"/>
        </w:rPr>
      </w:pPr>
      <w:proofErr w:type="spellStart"/>
      <w:proofErr w:type="gramStart"/>
      <w:r>
        <w:rPr>
          <w:b/>
          <w:bCs/>
          <w:sz w:val="24"/>
          <w:szCs w:val="24"/>
        </w:rPr>
        <w:t>Ans</w:t>
      </w:r>
      <w:proofErr w:type="spellEnd"/>
      <w:r>
        <w:rPr>
          <w:b/>
          <w:bCs/>
          <w:sz w:val="24"/>
          <w:szCs w:val="24"/>
        </w:rPr>
        <w:t xml:space="preserve"> 3b.</w:t>
      </w:r>
      <w:proofErr w:type="gramEnd"/>
    </w:p>
    <w:p w:rsidR="0053246A" w:rsidRPr="0053246A" w:rsidRDefault="007A4BFE" w:rsidP="0053246A">
      <w:pPr>
        <w:spacing w:after="240" w:line="360" w:lineRule="auto"/>
        <w:jc w:val="both"/>
        <w:rPr>
          <w:b/>
          <w:bCs/>
          <w:sz w:val="24"/>
          <w:szCs w:val="24"/>
        </w:rPr>
      </w:pPr>
      <w:r>
        <w:rPr>
          <w:b/>
          <w:bCs/>
          <w:sz w:val="24"/>
          <w:szCs w:val="24"/>
        </w:rPr>
        <w:lastRenderedPageBreak/>
        <w:t xml:space="preserve">Introduction </w:t>
      </w:r>
    </w:p>
    <w:p w:rsidR="002709A0" w:rsidRPr="00D70E2E" w:rsidRDefault="0053246A" w:rsidP="00B269D7">
      <w:pPr>
        <w:spacing w:after="240" w:line="360" w:lineRule="auto"/>
        <w:jc w:val="both"/>
        <w:rPr>
          <w:sz w:val="24"/>
          <w:szCs w:val="24"/>
        </w:rPr>
      </w:pPr>
      <w:r w:rsidRPr="0053246A">
        <w:rPr>
          <w:sz w:val="24"/>
          <w:szCs w:val="24"/>
        </w:rPr>
        <w:t xml:space="preserve">As globalization deepens, many Indian companies are looking beyond domestic capital markets to raise funds and gain global visibility. Depository Receipts, such as GDRs and ADRs, offer a strategic route to access international equity investors without requiring a direct overseas listing. Investment banks can play a crucial role by offering end-to-end advisory and execution support. To meet client needs, a comprehensive service model must be built, addressing regulatory, procedural, and investor-related dimensions in foreign capital </w:t>
      </w:r>
    </w:p>
    <w:p w:rsidR="00D521CB" w:rsidRDefault="00D521CB" w:rsidP="002709A0">
      <w:pPr>
        <w:spacing w:after="240"/>
      </w:pPr>
    </w:p>
    <w:sectPr w:rsidR="00D521CB" w:rsidSect="00D70E2E">
      <w:headerReference w:type="default" r:id="rId10"/>
      <w:footerReference w:type="default" r:id="rId11"/>
      <w:pgSz w:w="11900" w:h="16840"/>
      <w:pgMar w:top="1440" w:right="1440" w:bottom="1440" w:left="1440" w:header="640" w:footer="60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17E" w:rsidRDefault="00E9417E" w:rsidP="00021C20">
      <w:r>
        <w:separator/>
      </w:r>
    </w:p>
  </w:endnote>
  <w:endnote w:type="continuationSeparator" w:id="0">
    <w:p w:rsidR="00E9417E" w:rsidRDefault="00E9417E" w:rsidP="00021C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C2" w:rsidRDefault="006B41E1">
    <w:pPr>
      <w:spacing w:line="200" w:lineRule="exact"/>
    </w:pPr>
    <w:r>
      <w:pict>
        <v:shapetype id="_x0000_t202" coordsize="21600,21600" o:spt="202" path="m,l,21600r21600,l21600,xe">
          <v:stroke joinstyle="miter"/>
          <v:path gradientshapeok="t" o:connecttype="rect"/>
        </v:shapetype>
        <v:shape id="_x0000_s1025" type="#_x0000_t202" style="position:absolute;margin-left:272.35pt;margin-top:795.35pt;width:56.3pt;height:14pt;z-index:-251658752;mso-position-horizontal-relative:page;mso-position-vertical-relative:page" filled="f" stroked="f">
          <v:textbox style="mso-next-textbox:#_x0000_s1025" inset="0,0,0,0">
            <w:txbxContent>
              <w:p w:rsidR="006031C2" w:rsidRDefault="00E9417E">
                <w:pPr>
                  <w:spacing w:line="260" w:lineRule="exact"/>
                  <w:ind w:left="20" w:right="-36"/>
                  <w:rPr>
                    <w:sz w:val="24"/>
                    <w:szCs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17E" w:rsidRDefault="00E9417E" w:rsidP="00021C20">
      <w:r>
        <w:separator/>
      </w:r>
    </w:p>
  </w:footnote>
  <w:footnote w:type="continuationSeparator" w:id="0">
    <w:p w:rsidR="00E9417E" w:rsidRDefault="00E9417E" w:rsidP="00021C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C2" w:rsidRDefault="00E9417E">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076E"/>
    <w:multiLevelType w:val="multilevel"/>
    <w:tmpl w:val="48B2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A0714"/>
    <w:multiLevelType w:val="multilevel"/>
    <w:tmpl w:val="7436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456FB"/>
    <w:multiLevelType w:val="multilevel"/>
    <w:tmpl w:val="3272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1D47952"/>
    <w:multiLevelType w:val="multilevel"/>
    <w:tmpl w:val="1742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DC2AE1"/>
    <w:multiLevelType w:val="multilevel"/>
    <w:tmpl w:val="59D4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A66967"/>
    <w:multiLevelType w:val="multilevel"/>
    <w:tmpl w:val="D286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933698"/>
    <w:multiLevelType w:val="multilevel"/>
    <w:tmpl w:val="274E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F1F2C39"/>
    <w:multiLevelType w:val="multilevel"/>
    <w:tmpl w:val="71BA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4"/>
  </w:num>
  <w:num w:numId="4">
    <w:abstractNumId w:val="1"/>
  </w:num>
  <w:num w:numId="5">
    <w:abstractNumId w:val="0"/>
  </w:num>
  <w:num w:numId="6">
    <w:abstractNumId w:val="6"/>
  </w:num>
  <w:num w:numId="7">
    <w:abstractNumId w:val="2"/>
  </w:num>
  <w:num w:numId="8">
    <w:abstractNumId w:val="5"/>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2709A0"/>
    <w:rsid w:val="00021C20"/>
    <w:rsid w:val="002709A0"/>
    <w:rsid w:val="002A706E"/>
    <w:rsid w:val="004405C7"/>
    <w:rsid w:val="0053246A"/>
    <w:rsid w:val="00540C60"/>
    <w:rsid w:val="006B41E1"/>
    <w:rsid w:val="007268E0"/>
    <w:rsid w:val="007A4BFE"/>
    <w:rsid w:val="007A4DF7"/>
    <w:rsid w:val="0084006E"/>
    <w:rsid w:val="00A465D1"/>
    <w:rsid w:val="00A71564"/>
    <w:rsid w:val="00B269D7"/>
    <w:rsid w:val="00C3129A"/>
    <w:rsid w:val="00C42FD7"/>
    <w:rsid w:val="00D521CB"/>
    <w:rsid w:val="00E11140"/>
    <w:rsid w:val="00E9417E"/>
    <w:rsid w:val="00F30EBD"/>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9A0"/>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69D7"/>
    <w:rPr>
      <w:color w:val="0000FF"/>
      <w:u w:val="single"/>
    </w:rPr>
  </w:style>
  <w:style w:type="paragraph" w:styleId="NormalWeb">
    <w:name w:val="Normal (Web)"/>
    <w:basedOn w:val="Normal"/>
    <w:uiPriority w:val="99"/>
    <w:semiHidden/>
    <w:unhideWhenUsed/>
    <w:rsid w:val="00B269D7"/>
    <w:pPr>
      <w:spacing w:before="100" w:beforeAutospacing="1" w:after="100" w:afterAutospacing="1"/>
    </w:pPr>
    <w:rPr>
      <w:sz w:val="24"/>
      <w:szCs w:val="24"/>
    </w:rPr>
  </w:style>
  <w:style w:type="character" w:styleId="Strong">
    <w:name w:val="Strong"/>
    <w:basedOn w:val="DefaultParagraphFont"/>
    <w:uiPriority w:val="22"/>
    <w:qFormat/>
    <w:rsid w:val="00B269D7"/>
    <w:rPr>
      <w:b/>
      <w:bCs/>
    </w:rPr>
  </w:style>
</w:styles>
</file>

<file path=word/webSettings.xml><?xml version="1.0" encoding="utf-8"?>
<w:webSettings xmlns:r="http://schemas.openxmlformats.org/officeDocument/2006/relationships" xmlns:w="http://schemas.openxmlformats.org/wordprocessingml/2006/main">
  <w:divs>
    <w:div w:id="316884154">
      <w:bodyDiv w:val="1"/>
      <w:marLeft w:val="0"/>
      <w:marRight w:val="0"/>
      <w:marTop w:val="0"/>
      <w:marBottom w:val="0"/>
      <w:divBdr>
        <w:top w:val="none" w:sz="0" w:space="0" w:color="auto"/>
        <w:left w:val="none" w:sz="0" w:space="0" w:color="auto"/>
        <w:bottom w:val="none" w:sz="0" w:space="0" w:color="auto"/>
        <w:right w:val="none" w:sz="0" w:space="0" w:color="auto"/>
      </w:divBdr>
    </w:div>
    <w:div w:id="647826862">
      <w:bodyDiv w:val="1"/>
      <w:marLeft w:val="0"/>
      <w:marRight w:val="0"/>
      <w:marTop w:val="0"/>
      <w:marBottom w:val="0"/>
      <w:divBdr>
        <w:top w:val="none" w:sz="0" w:space="0" w:color="auto"/>
        <w:left w:val="none" w:sz="0" w:space="0" w:color="auto"/>
        <w:bottom w:val="none" w:sz="0" w:space="0" w:color="auto"/>
        <w:right w:val="none" w:sz="0" w:space="0" w:color="auto"/>
      </w:divBdr>
    </w:div>
    <w:div w:id="1412695358">
      <w:bodyDiv w:val="1"/>
      <w:marLeft w:val="0"/>
      <w:marRight w:val="0"/>
      <w:marTop w:val="0"/>
      <w:marBottom w:val="0"/>
      <w:divBdr>
        <w:top w:val="none" w:sz="0" w:space="0" w:color="auto"/>
        <w:left w:val="none" w:sz="0" w:space="0" w:color="auto"/>
        <w:bottom w:val="none" w:sz="0" w:space="0" w:color="auto"/>
        <w:right w:val="none" w:sz="0" w:space="0" w:color="auto"/>
      </w:divBdr>
    </w:div>
    <w:div w:id="1654330823">
      <w:bodyDiv w:val="1"/>
      <w:marLeft w:val="0"/>
      <w:marRight w:val="0"/>
      <w:marTop w:val="0"/>
      <w:marBottom w:val="0"/>
      <w:divBdr>
        <w:top w:val="none" w:sz="0" w:space="0" w:color="auto"/>
        <w:left w:val="none" w:sz="0" w:space="0" w:color="auto"/>
        <w:bottom w:val="none" w:sz="0" w:space="0" w:color="auto"/>
        <w:right w:val="none" w:sz="0" w:space="0" w:color="auto"/>
      </w:divBdr>
    </w:div>
    <w:div w:id="1797217889">
      <w:bodyDiv w:val="1"/>
      <w:marLeft w:val="0"/>
      <w:marRight w:val="0"/>
      <w:marTop w:val="0"/>
      <w:marBottom w:val="0"/>
      <w:divBdr>
        <w:top w:val="none" w:sz="0" w:space="0" w:color="auto"/>
        <w:left w:val="none" w:sz="0" w:space="0" w:color="auto"/>
        <w:bottom w:val="none" w:sz="0" w:space="0" w:color="auto"/>
        <w:right w:val="none" w:sz="0" w:space="0" w:color="auto"/>
      </w:divBdr>
    </w:div>
    <w:div w:id="202972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mimsassignment.com/online-buy-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dcterms:created xsi:type="dcterms:W3CDTF">2025-06-25T16:29:00Z</dcterms:created>
  <dcterms:modified xsi:type="dcterms:W3CDTF">2025-07-04T07:56:00Z</dcterms:modified>
</cp:coreProperties>
</file>