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BB" w:rsidRPr="008963BB" w:rsidRDefault="00FD59BB" w:rsidP="00FD59BB">
      <w:pPr>
        <w:spacing w:line="360" w:lineRule="auto"/>
        <w:jc w:val="center"/>
        <w:rPr>
          <w:rFonts w:ascii="Times New Roman" w:hAnsi="Times New Roman"/>
          <w:b/>
          <w:sz w:val="24"/>
          <w:szCs w:val="24"/>
        </w:rPr>
      </w:pPr>
      <w:r w:rsidRPr="008963BB">
        <w:rPr>
          <w:rFonts w:ascii="Times New Roman" w:hAnsi="Times New Roman"/>
          <w:b/>
          <w:sz w:val="24"/>
          <w:szCs w:val="24"/>
        </w:rPr>
        <w:t>Corporate Finance</w:t>
      </w:r>
    </w:p>
    <w:p w:rsidR="00FD59BB" w:rsidRPr="008963BB" w:rsidRDefault="00FD59BB" w:rsidP="00FD59BB">
      <w:pPr>
        <w:spacing w:line="360" w:lineRule="auto"/>
        <w:jc w:val="center"/>
        <w:rPr>
          <w:rFonts w:ascii="Times New Roman" w:hAnsi="Times New Roman"/>
          <w:b/>
          <w:sz w:val="24"/>
          <w:szCs w:val="24"/>
        </w:rPr>
      </w:pPr>
      <w:r w:rsidRPr="008963BB">
        <w:rPr>
          <w:rFonts w:ascii="Times New Roman" w:hAnsi="Times New Roman"/>
          <w:b/>
          <w:sz w:val="24"/>
          <w:szCs w:val="24"/>
        </w:rPr>
        <w:t>April 2025 Examination</w:t>
      </w:r>
    </w:p>
    <w:p w:rsidR="00FD59BB" w:rsidRPr="008963BB" w:rsidRDefault="00FD59BB" w:rsidP="00FD59BB">
      <w:pPr>
        <w:spacing w:line="360" w:lineRule="auto"/>
        <w:jc w:val="both"/>
        <w:rPr>
          <w:rFonts w:ascii="Times New Roman" w:hAnsi="Times New Roman"/>
          <w:b/>
          <w:sz w:val="24"/>
          <w:szCs w:val="24"/>
        </w:rPr>
      </w:pPr>
    </w:p>
    <w:p w:rsidR="00FD59BB" w:rsidRPr="008963BB" w:rsidRDefault="00FD59BB" w:rsidP="00FD59BB">
      <w:pPr>
        <w:spacing w:line="360" w:lineRule="auto"/>
        <w:jc w:val="both"/>
        <w:rPr>
          <w:rFonts w:ascii="Times New Roman" w:hAnsi="Times New Roman"/>
          <w:b/>
          <w:sz w:val="24"/>
          <w:szCs w:val="24"/>
        </w:rPr>
      </w:pPr>
    </w:p>
    <w:p w:rsidR="00FD59BB" w:rsidRPr="008963BB" w:rsidRDefault="00FD59BB" w:rsidP="00FD59BB">
      <w:pPr>
        <w:spacing w:line="360" w:lineRule="auto"/>
        <w:jc w:val="both"/>
        <w:rPr>
          <w:rFonts w:ascii="Times New Roman" w:hAnsi="Times New Roman"/>
          <w:b/>
          <w:sz w:val="24"/>
          <w:szCs w:val="24"/>
        </w:rPr>
      </w:pPr>
      <w:bookmarkStart w:id="0" w:name="_GoBack"/>
      <w:bookmarkEnd w:id="0"/>
    </w:p>
    <w:p w:rsidR="00FD59BB" w:rsidRPr="008963BB" w:rsidRDefault="00FD59BB" w:rsidP="00FD59BB">
      <w:pPr>
        <w:spacing w:line="360" w:lineRule="auto"/>
        <w:jc w:val="both"/>
        <w:rPr>
          <w:rFonts w:ascii="Times New Roman" w:hAnsi="Times New Roman"/>
          <w:b/>
          <w:sz w:val="24"/>
          <w:szCs w:val="24"/>
        </w:rPr>
      </w:pPr>
      <w:r w:rsidRPr="008963BB">
        <w:rPr>
          <w:rFonts w:ascii="Times New Roman" w:hAnsi="Times New Roman"/>
          <w:b/>
          <w:sz w:val="24"/>
          <w:szCs w:val="24"/>
        </w:rPr>
        <w:t xml:space="preserve">Q1. XYZ Ltd. is considering a proposal of installing a Machine. The equipment would involve a Cash outlay of Rs. 25,00,000. The expected life of the project is 5 years without any salvage value. Below </w:t>
      </w:r>
      <w:proofErr w:type="spellStart"/>
      <w:r w:rsidRPr="008963BB">
        <w:rPr>
          <w:rFonts w:ascii="Times New Roman" w:hAnsi="Times New Roman"/>
          <w:b/>
          <w:sz w:val="24"/>
          <w:szCs w:val="24"/>
        </w:rPr>
        <w:t>cashflow</w:t>
      </w:r>
      <w:proofErr w:type="spellEnd"/>
      <w:r w:rsidRPr="008963BB">
        <w:rPr>
          <w:rFonts w:ascii="Times New Roman" w:hAnsi="Times New Roman"/>
          <w:b/>
          <w:sz w:val="24"/>
          <w:szCs w:val="24"/>
        </w:rPr>
        <w:t xml:space="preserve"> will be achieved by the organization:</w:t>
      </w:r>
    </w:p>
    <w:tbl>
      <w:tblPr>
        <w:tblW w:w="5011" w:type="pct"/>
        <w:tblCellMar>
          <w:left w:w="0" w:type="dxa"/>
          <w:right w:w="0" w:type="dxa"/>
        </w:tblCellMar>
        <w:tblLook w:val="0000"/>
      </w:tblPr>
      <w:tblGrid>
        <w:gridCol w:w="1883"/>
        <w:gridCol w:w="7197"/>
      </w:tblGrid>
      <w:tr w:rsidR="00FD59BB" w:rsidRPr="008963BB" w:rsidTr="00E00DDF">
        <w:trPr>
          <w:trHeight w:hRule="exact" w:val="319"/>
        </w:trPr>
        <w:tc>
          <w:tcPr>
            <w:tcW w:w="1037"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Year</w:t>
            </w:r>
          </w:p>
        </w:tc>
        <w:tc>
          <w:tcPr>
            <w:tcW w:w="3963"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Cash Inflows</w:t>
            </w:r>
          </w:p>
        </w:tc>
      </w:tr>
      <w:tr w:rsidR="00FD59BB" w:rsidRPr="008963BB" w:rsidTr="00E00DDF">
        <w:trPr>
          <w:trHeight w:hRule="exact" w:val="319"/>
        </w:trPr>
        <w:tc>
          <w:tcPr>
            <w:tcW w:w="1037"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w:t>
            </w:r>
          </w:p>
        </w:tc>
        <w:tc>
          <w:tcPr>
            <w:tcW w:w="3963"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600000</w:t>
            </w:r>
          </w:p>
        </w:tc>
      </w:tr>
      <w:tr w:rsidR="00FD59BB" w:rsidRPr="008963BB" w:rsidTr="00E00DDF">
        <w:trPr>
          <w:trHeight w:hRule="exact" w:val="322"/>
        </w:trPr>
        <w:tc>
          <w:tcPr>
            <w:tcW w:w="1037"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2</w:t>
            </w:r>
          </w:p>
        </w:tc>
        <w:tc>
          <w:tcPr>
            <w:tcW w:w="3963"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700000</w:t>
            </w:r>
          </w:p>
        </w:tc>
      </w:tr>
      <w:tr w:rsidR="00FD59BB" w:rsidRPr="008963BB" w:rsidTr="00E00DDF">
        <w:trPr>
          <w:trHeight w:hRule="exact" w:val="320"/>
        </w:trPr>
        <w:tc>
          <w:tcPr>
            <w:tcW w:w="1037"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3</w:t>
            </w:r>
          </w:p>
        </w:tc>
        <w:tc>
          <w:tcPr>
            <w:tcW w:w="3963"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750000</w:t>
            </w:r>
          </w:p>
        </w:tc>
      </w:tr>
      <w:tr w:rsidR="00FD59BB" w:rsidRPr="008963BB" w:rsidTr="00E00DDF">
        <w:trPr>
          <w:trHeight w:hRule="exact" w:val="322"/>
        </w:trPr>
        <w:tc>
          <w:tcPr>
            <w:tcW w:w="1037"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4</w:t>
            </w:r>
          </w:p>
        </w:tc>
        <w:tc>
          <w:tcPr>
            <w:tcW w:w="3963" w:type="pct"/>
            <w:tcBorders>
              <w:top w:val="single" w:sz="8" w:space="0" w:color="000000"/>
              <w:left w:val="single" w:sz="8" w:space="0" w:color="000000"/>
              <w:bottom w:val="single" w:sz="8" w:space="0" w:color="000000"/>
              <w:right w:val="single" w:sz="8" w:space="0" w:color="000000"/>
            </w:tcBorders>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800000</w:t>
            </w:r>
          </w:p>
        </w:tc>
      </w:tr>
    </w:tbl>
    <w:p w:rsidR="00FD59BB" w:rsidRPr="008963BB" w:rsidRDefault="00FD59BB" w:rsidP="00FD59BB">
      <w:pPr>
        <w:spacing w:line="360" w:lineRule="auto"/>
        <w:jc w:val="both"/>
        <w:rPr>
          <w:rFonts w:ascii="Times New Roman" w:hAnsi="Times New Roman"/>
          <w:b/>
          <w:sz w:val="24"/>
          <w:szCs w:val="24"/>
        </w:rPr>
      </w:pPr>
    </w:p>
    <w:p w:rsidR="00FD59BB" w:rsidRPr="008963BB" w:rsidRDefault="00FD59BB" w:rsidP="00FD59BB">
      <w:pPr>
        <w:spacing w:line="360" w:lineRule="auto"/>
        <w:jc w:val="both"/>
        <w:rPr>
          <w:rFonts w:ascii="Times New Roman" w:hAnsi="Times New Roman"/>
          <w:b/>
          <w:sz w:val="24"/>
          <w:szCs w:val="24"/>
        </w:rPr>
      </w:pPr>
      <w:r w:rsidRPr="008963BB">
        <w:rPr>
          <w:rFonts w:ascii="Times New Roman" w:hAnsi="Times New Roman"/>
          <w:b/>
          <w:sz w:val="24"/>
          <w:szCs w:val="24"/>
        </w:rPr>
        <w:t>Discounting rate is 8%</w:t>
      </w:r>
    </w:p>
    <w:p w:rsidR="00FD59BB" w:rsidRPr="008963BB" w:rsidRDefault="00FD59BB" w:rsidP="00FD59BB">
      <w:pPr>
        <w:spacing w:line="360" w:lineRule="auto"/>
        <w:jc w:val="both"/>
        <w:rPr>
          <w:rFonts w:ascii="Times New Roman" w:hAnsi="Times New Roman"/>
          <w:b/>
          <w:sz w:val="24"/>
          <w:szCs w:val="24"/>
        </w:rPr>
      </w:pPr>
      <w:r w:rsidRPr="008963BB">
        <w:rPr>
          <w:rFonts w:ascii="Times New Roman" w:hAnsi="Times New Roman"/>
          <w:b/>
          <w:sz w:val="24"/>
          <w:szCs w:val="24"/>
        </w:rPr>
        <w:t xml:space="preserve">Find out the PV of Cash Inflows, NPV, and Profitability </w:t>
      </w:r>
      <w:proofErr w:type="gramStart"/>
      <w:r w:rsidRPr="008963BB">
        <w:rPr>
          <w:rFonts w:ascii="Times New Roman" w:hAnsi="Times New Roman"/>
          <w:b/>
          <w:sz w:val="24"/>
          <w:szCs w:val="24"/>
        </w:rPr>
        <w:t>Index  (</w:t>
      </w:r>
      <w:proofErr w:type="gramEnd"/>
      <w:r w:rsidRPr="008963BB">
        <w:rPr>
          <w:rFonts w:ascii="Times New Roman" w:hAnsi="Times New Roman"/>
          <w:b/>
          <w:sz w:val="24"/>
          <w:szCs w:val="24"/>
        </w:rPr>
        <w:t>10 Marks)</w:t>
      </w:r>
    </w:p>
    <w:p w:rsidR="008963BB" w:rsidRPr="008963BB" w:rsidRDefault="008963BB" w:rsidP="00FD59BB">
      <w:pPr>
        <w:spacing w:line="360" w:lineRule="auto"/>
        <w:jc w:val="both"/>
        <w:rPr>
          <w:rFonts w:ascii="Times New Roman" w:hAnsi="Times New Roman"/>
          <w:b/>
          <w:sz w:val="24"/>
          <w:szCs w:val="24"/>
        </w:rPr>
      </w:pPr>
      <w:proofErr w:type="spellStart"/>
      <w:r w:rsidRPr="008963BB">
        <w:rPr>
          <w:rFonts w:ascii="Times New Roman" w:hAnsi="Times New Roman"/>
          <w:b/>
          <w:sz w:val="24"/>
          <w:szCs w:val="24"/>
        </w:rPr>
        <w:t>Ans</w:t>
      </w:r>
      <w:proofErr w:type="spellEnd"/>
      <w:r w:rsidRPr="008963BB">
        <w:rPr>
          <w:rFonts w:ascii="Times New Roman" w:hAnsi="Times New Roman"/>
          <w:b/>
          <w:sz w:val="24"/>
          <w:szCs w:val="24"/>
        </w:rPr>
        <w:t xml:space="preserve"> 1.</w:t>
      </w:r>
    </w:p>
    <w:p w:rsidR="008963BB" w:rsidRPr="008963BB" w:rsidRDefault="008963BB" w:rsidP="008963BB">
      <w:pPr>
        <w:spacing w:line="360" w:lineRule="auto"/>
        <w:jc w:val="both"/>
        <w:rPr>
          <w:rFonts w:ascii="Times New Roman" w:hAnsi="Times New Roman"/>
          <w:b/>
          <w:bCs/>
          <w:sz w:val="24"/>
          <w:szCs w:val="24"/>
        </w:rPr>
      </w:pPr>
      <w:r w:rsidRPr="008963BB">
        <w:rPr>
          <w:rFonts w:ascii="Times New Roman" w:hAnsi="Times New Roman"/>
          <w:b/>
          <w:bCs/>
          <w:sz w:val="24"/>
          <w:szCs w:val="24"/>
        </w:rPr>
        <w:t>Introduction</w:t>
      </w:r>
    </w:p>
    <w:p w:rsidR="008963BB" w:rsidRDefault="008963BB" w:rsidP="002759C8">
      <w:pPr>
        <w:spacing w:line="360" w:lineRule="auto"/>
        <w:jc w:val="both"/>
        <w:rPr>
          <w:rFonts w:ascii="Times New Roman" w:hAnsi="Times New Roman"/>
          <w:sz w:val="24"/>
          <w:szCs w:val="24"/>
        </w:rPr>
      </w:pPr>
      <w:r w:rsidRPr="008963BB">
        <w:rPr>
          <w:rFonts w:ascii="Times New Roman" w:hAnsi="Times New Roman"/>
          <w:sz w:val="24"/>
          <w:szCs w:val="24"/>
        </w:rPr>
        <w:t xml:space="preserve">Corporate finance plays a pivotal role in the strategic decision-making of organizations, enabling them to maximize shareholder value through prudent investment and financing choices. One of the critical aspects of corporate finance is the evaluation of capital investment decisions, such as acquiring new machinery or expanding production capabilities. Companies frequently face the challenge of assessing the profitability and financial viability of potential projects. In this context, tools like Net Present Value (NPV), Present Value (PV) of Cash Inflows, and Profitability Index (PI) are indispensable. These financial metrics help organizations </w:t>
      </w:r>
    </w:p>
    <w:p w:rsidR="002759C8" w:rsidRDefault="002759C8" w:rsidP="002759C8">
      <w:pPr>
        <w:spacing w:line="360" w:lineRule="auto"/>
        <w:jc w:val="both"/>
        <w:rPr>
          <w:rFonts w:ascii="Times New Roman" w:hAnsi="Times New Roman"/>
          <w:sz w:val="24"/>
          <w:szCs w:val="24"/>
        </w:rPr>
      </w:pPr>
    </w:p>
    <w:p w:rsidR="002759C8" w:rsidRDefault="002759C8" w:rsidP="002759C8">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2759C8" w:rsidRDefault="002759C8" w:rsidP="002759C8">
      <w:pPr>
        <w:shd w:val="clear" w:color="auto" w:fill="FFFFFF"/>
        <w:spacing w:after="0" w:line="360" w:lineRule="auto"/>
        <w:jc w:val="center"/>
        <w:rPr>
          <w:rFonts w:ascii="Georgia" w:hAnsi="Georgia" w:cs="Calibri"/>
          <w:sz w:val="33"/>
          <w:szCs w:val="33"/>
          <w:shd w:val="clear" w:color="auto" w:fill="FFFF00"/>
        </w:rPr>
      </w:pPr>
    </w:p>
    <w:p w:rsidR="002759C8" w:rsidRDefault="002759C8" w:rsidP="002759C8">
      <w:pPr>
        <w:shd w:val="clear" w:color="auto" w:fill="FFFFFF"/>
        <w:spacing w:after="0" w:line="360" w:lineRule="auto"/>
        <w:jc w:val="center"/>
        <w:rPr>
          <w:rFonts w:cs="Calibri"/>
        </w:rPr>
      </w:pPr>
      <w:r>
        <w:rPr>
          <w:rFonts w:ascii="Georgia" w:hAnsi="Georgia" w:cs="Calibri"/>
          <w:sz w:val="33"/>
          <w:szCs w:val="33"/>
          <w:shd w:val="clear" w:color="auto" w:fill="FFFF00"/>
        </w:rPr>
        <w:lastRenderedPageBreak/>
        <w:t>Buy Complete from our online store</w:t>
      </w:r>
    </w:p>
    <w:p w:rsidR="002759C8" w:rsidRDefault="002759C8" w:rsidP="002759C8">
      <w:pPr>
        <w:shd w:val="clear" w:color="auto" w:fill="FFFFFF"/>
        <w:spacing w:after="0" w:line="360" w:lineRule="auto"/>
        <w:jc w:val="center"/>
        <w:rPr>
          <w:rFonts w:ascii="Aptos" w:hAnsi="Aptos" w:cs="Calibri"/>
          <w:color w:val="0070C0"/>
          <w:sz w:val="24"/>
          <w:szCs w:val="24"/>
        </w:rPr>
      </w:pPr>
    </w:p>
    <w:p w:rsidR="002759C8" w:rsidRDefault="002759C8" w:rsidP="002759C8">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2759C8" w:rsidRDefault="002759C8" w:rsidP="002759C8">
      <w:pPr>
        <w:shd w:val="clear" w:color="auto" w:fill="FFFFFF"/>
        <w:spacing w:after="0" w:line="360" w:lineRule="auto"/>
        <w:jc w:val="center"/>
        <w:rPr>
          <w:rFonts w:cs="Calibri"/>
        </w:rPr>
      </w:pPr>
    </w:p>
    <w:p w:rsidR="002759C8" w:rsidRDefault="002759C8" w:rsidP="002759C8">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2759C8" w:rsidRDefault="002759C8" w:rsidP="002759C8">
      <w:pPr>
        <w:shd w:val="clear" w:color="auto" w:fill="FFFFFF"/>
        <w:spacing w:after="0" w:line="360" w:lineRule="auto"/>
        <w:jc w:val="center"/>
        <w:rPr>
          <w:rFonts w:ascii="Arial" w:hAnsi="Arial" w:cs="Calibri"/>
        </w:rPr>
      </w:pPr>
    </w:p>
    <w:p w:rsidR="002759C8" w:rsidRDefault="002759C8" w:rsidP="002759C8">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2759C8" w:rsidRDefault="002759C8" w:rsidP="002759C8">
      <w:pPr>
        <w:shd w:val="clear" w:color="auto" w:fill="FFFFFF"/>
        <w:spacing w:after="0" w:line="360" w:lineRule="auto"/>
        <w:jc w:val="center"/>
        <w:rPr>
          <w:rFonts w:ascii="Georgia" w:hAnsi="Georgia" w:cs="Calibri"/>
          <w:sz w:val="33"/>
          <w:szCs w:val="33"/>
        </w:rPr>
      </w:pPr>
    </w:p>
    <w:p w:rsidR="002759C8" w:rsidRDefault="002759C8" w:rsidP="002759C8">
      <w:pPr>
        <w:shd w:val="clear" w:color="auto" w:fill="FFFFFF"/>
        <w:spacing w:after="0" w:line="360" w:lineRule="auto"/>
        <w:jc w:val="center"/>
        <w:rPr>
          <w:rFonts w:cs="Calibri"/>
        </w:rPr>
      </w:pPr>
      <w:r>
        <w:rPr>
          <w:rFonts w:ascii="Georgia" w:hAnsi="Georgia" w:cs="Calibri"/>
          <w:sz w:val="33"/>
          <w:szCs w:val="33"/>
        </w:rPr>
        <w:t>Lowest price guarantee with quality.</w:t>
      </w:r>
    </w:p>
    <w:p w:rsidR="002759C8" w:rsidRDefault="002759C8" w:rsidP="002759C8">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2759C8" w:rsidRDefault="002759C8" w:rsidP="002759C8">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2759C8" w:rsidRDefault="002759C8" w:rsidP="002759C8">
      <w:pPr>
        <w:shd w:val="clear" w:color="auto" w:fill="FFFFFF"/>
        <w:spacing w:after="0" w:line="360" w:lineRule="auto"/>
        <w:jc w:val="center"/>
        <w:rPr>
          <w:rFonts w:ascii="Aptos" w:hAnsi="Aptos" w:cs="Calibri"/>
        </w:rPr>
      </w:pPr>
    </w:p>
    <w:p w:rsidR="002759C8" w:rsidRDefault="002759C8" w:rsidP="002759C8">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2759C8" w:rsidRDefault="002759C8" w:rsidP="002759C8">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2759C8" w:rsidRDefault="002759C8" w:rsidP="002759C8">
      <w:pPr>
        <w:shd w:val="clear" w:color="auto" w:fill="FFFFFF"/>
        <w:spacing w:after="0" w:line="360" w:lineRule="auto"/>
        <w:jc w:val="center"/>
        <w:rPr>
          <w:rFonts w:cs="Calibri"/>
        </w:rPr>
      </w:pPr>
      <w:r>
        <w:rPr>
          <w:rFonts w:ascii="Georgia" w:hAnsi="Georgia" w:cs="Calibri"/>
          <w:sz w:val="33"/>
          <w:szCs w:val="33"/>
        </w:rPr>
        <w:t>1 hour.</w:t>
      </w:r>
    </w:p>
    <w:p w:rsidR="002759C8" w:rsidRDefault="002759C8" w:rsidP="002759C8">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2759C8" w:rsidRDefault="002759C8" w:rsidP="002759C8">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2759C8" w:rsidRDefault="002759C8" w:rsidP="002759C8">
      <w:pPr>
        <w:spacing w:line="360" w:lineRule="auto"/>
        <w:jc w:val="both"/>
        <w:rPr>
          <w:rFonts w:ascii="Times New Roman" w:hAnsi="Times New Roman"/>
          <w:sz w:val="24"/>
          <w:szCs w:val="24"/>
        </w:rPr>
      </w:pPr>
    </w:p>
    <w:p w:rsidR="002759C8" w:rsidRPr="000F2D03" w:rsidRDefault="002759C8" w:rsidP="002759C8">
      <w:pPr>
        <w:spacing w:line="360" w:lineRule="auto"/>
        <w:jc w:val="both"/>
        <w:rPr>
          <w:rFonts w:ascii="Times New Roman" w:hAnsi="Times New Roman"/>
          <w:sz w:val="24"/>
          <w:szCs w:val="24"/>
        </w:rPr>
      </w:pPr>
    </w:p>
    <w:p w:rsidR="00FD59BB" w:rsidRDefault="00FD59BB" w:rsidP="00FD59BB">
      <w:pPr>
        <w:spacing w:line="360" w:lineRule="auto"/>
        <w:jc w:val="both"/>
        <w:rPr>
          <w:rFonts w:ascii="Times New Roman" w:hAnsi="Times New Roman"/>
          <w:sz w:val="24"/>
          <w:szCs w:val="24"/>
        </w:rPr>
      </w:pPr>
    </w:p>
    <w:p w:rsidR="008963BB" w:rsidRDefault="008963BB" w:rsidP="00FD59BB">
      <w:pPr>
        <w:spacing w:line="360" w:lineRule="auto"/>
        <w:jc w:val="both"/>
        <w:rPr>
          <w:rFonts w:ascii="Times New Roman" w:hAnsi="Times New Roman"/>
          <w:sz w:val="24"/>
          <w:szCs w:val="24"/>
        </w:rPr>
      </w:pPr>
    </w:p>
    <w:p w:rsidR="008963BB" w:rsidRPr="000F2D03" w:rsidRDefault="008963BB" w:rsidP="00FD59BB">
      <w:pPr>
        <w:spacing w:line="360" w:lineRule="auto"/>
        <w:jc w:val="both"/>
        <w:rPr>
          <w:rFonts w:ascii="Times New Roman" w:hAnsi="Times New Roman"/>
          <w:sz w:val="24"/>
          <w:szCs w:val="24"/>
        </w:rPr>
      </w:pPr>
    </w:p>
    <w:p w:rsidR="00FD59BB" w:rsidRPr="008963BB" w:rsidRDefault="00FD59BB" w:rsidP="00FD59BB">
      <w:pPr>
        <w:spacing w:line="360" w:lineRule="auto"/>
        <w:jc w:val="both"/>
        <w:rPr>
          <w:rFonts w:ascii="Times New Roman" w:hAnsi="Times New Roman"/>
          <w:b/>
          <w:sz w:val="24"/>
          <w:szCs w:val="24"/>
        </w:rPr>
      </w:pPr>
      <w:r w:rsidRPr="008963BB">
        <w:rPr>
          <w:rFonts w:ascii="Times New Roman" w:hAnsi="Times New Roman"/>
          <w:b/>
          <w:sz w:val="24"/>
          <w:szCs w:val="24"/>
        </w:rPr>
        <w:lastRenderedPageBreak/>
        <w:t xml:space="preserve">Q2. </w:t>
      </w:r>
      <w:proofErr w:type="gramStart"/>
      <w:r w:rsidRPr="008963BB">
        <w:rPr>
          <w:rFonts w:ascii="Times New Roman" w:hAnsi="Times New Roman"/>
          <w:b/>
          <w:sz w:val="24"/>
          <w:szCs w:val="24"/>
        </w:rPr>
        <w:t>The  following</w:t>
      </w:r>
      <w:proofErr w:type="gramEnd"/>
      <w:r w:rsidRPr="008963BB">
        <w:rPr>
          <w:rFonts w:ascii="Times New Roman" w:hAnsi="Times New Roman"/>
          <w:b/>
          <w:sz w:val="24"/>
          <w:szCs w:val="24"/>
        </w:rPr>
        <w:t xml:space="preserve">  particulars  are  available  in  respect  of  three  investment proposals </w:t>
      </w:r>
    </w:p>
    <w:tbl>
      <w:tblPr>
        <w:tblStyle w:val="TableGrid"/>
        <w:tblW w:w="5000" w:type="pct"/>
        <w:tblLook w:val="0000"/>
      </w:tblPr>
      <w:tblGrid>
        <w:gridCol w:w="4258"/>
        <w:gridCol w:w="1688"/>
        <w:gridCol w:w="1662"/>
        <w:gridCol w:w="1648"/>
      </w:tblGrid>
      <w:tr w:rsidR="00FD59BB" w:rsidRPr="008963BB" w:rsidTr="00E00DDF">
        <w:trPr>
          <w:trHeight w:hRule="exact" w:val="300"/>
        </w:trPr>
        <w:tc>
          <w:tcPr>
            <w:tcW w:w="2300" w:type="pct"/>
          </w:tcPr>
          <w:p w:rsidR="00FD59BB" w:rsidRPr="008963BB" w:rsidRDefault="00FD59BB" w:rsidP="00E00DDF">
            <w:pPr>
              <w:spacing w:line="360" w:lineRule="auto"/>
              <w:jc w:val="both"/>
              <w:rPr>
                <w:rFonts w:ascii="Times New Roman" w:hAnsi="Times New Roman"/>
                <w:b/>
                <w:sz w:val="24"/>
                <w:szCs w:val="24"/>
              </w:rPr>
            </w:pPr>
          </w:p>
        </w:tc>
        <w:tc>
          <w:tcPr>
            <w:tcW w:w="912"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 xml:space="preserve">   Project A</w:t>
            </w:r>
          </w:p>
        </w:tc>
        <w:tc>
          <w:tcPr>
            <w:tcW w:w="898"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Project B</w:t>
            </w:r>
          </w:p>
        </w:tc>
        <w:tc>
          <w:tcPr>
            <w:tcW w:w="889"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Project C</w:t>
            </w:r>
          </w:p>
        </w:tc>
      </w:tr>
      <w:tr w:rsidR="00FD59BB" w:rsidRPr="008963BB" w:rsidTr="00E00DDF">
        <w:trPr>
          <w:trHeight w:hRule="exact" w:val="300"/>
        </w:trPr>
        <w:tc>
          <w:tcPr>
            <w:tcW w:w="2300"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Cost (in Rs.)</w:t>
            </w:r>
          </w:p>
        </w:tc>
        <w:tc>
          <w:tcPr>
            <w:tcW w:w="912"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1,00,000</w:t>
            </w:r>
          </w:p>
        </w:tc>
        <w:tc>
          <w:tcPr>
            <w:tcW w:w="898"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1,20,000</w:t>
            </w:r>
          </w:p>
        </w:tc>
        <w:tc>
          <w:tcPr>
            <w:tcW w:w="889"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1,40,000</w:t>
            </w:r>
          </w:p>
        </w:tc>
      </w:tr>
      <w:tr w:rsidR="00FD59BB" w:rsidRPr="008963BB" w:rsidTr="00E00DDF">
        <w:trPr>
          <w:trHeight w:hRule="exact" w:val="300"/>
        </w:trPr>
        <w:tc>
          <w:tcPr>
            <w:tcW w:w="2300"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Annual savings (in Rs.)</w:t>
            </w:r>
          </w:p>
        </w:tc>
        <w:tc>
          <w:tcPr>
            <w:tcW w:w="912"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30,000</w:t>
            </w:r>
          </w:p>
        </w:tc>
        <w:tc>
          <w:tcPr>
            <w:tcW w:w="898"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32,000</w:t>
            </w:r>
          </w:p>
        </w:tc>
        <w:tc>
          <w:tcPr>
            <w:tcW w:w="889"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34,000</w:t>
            </w:r>
          </w:p>
        </w:tc>
      </w:tr>
      <w:tr w:rsidR="00FD59BB" w:rsidRPr="008963BB" w:rsidTr="00E00DDF">
        <w:trPr>
          <w:trHeight w:hRule="exact" w:val="300"/>
        </w:trPr>
        <w:tc>
          <w:tcPr>
            <w:tcW w:w="2300"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Estimated scrap (in Rs.)</w:t>
            </w:r>
          </w:p>
        </w:tc>
        <w:tc>
          <w:tcPr>
            <w:tcW w:w="912"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16,000</w:t>
            </w:r>
          </w:p>
        </w:tc>
        <w:tc>
          <w:tcPr>
            <w:tcW w:w="898"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20,000</w:t>
            </w:r>
          </w:p>
        </w:tc>
        <w:tc>
          <w:tcPr>
            <w:tcW w:w="889"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30,000</w:t>
            </w:r>
          </w:p>
        </w:tc>
      </w:tr>
      <w:tr w:rsidR="00FD59BB" w:rsidRPr="008963BB" w:rsidTr="00E00DDF">
        <w:trPr>
          <w:trHeight w:hRule="exact" w:val="300"/>
        </w:trPr>
        <w:tc>
          <w:tcPr>
            <w:tcW w:w="2300"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Life (in years)</w:t>
            </w:r>
          </w:p>
        </w:tc>
        <w:tc>
          <w:tcPr>
            <w:tcW w:w="912"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12</w:t>
            </w:r>
          </w:p>
        </w:tc>
        <w:tc>
          <w:tcPr>
            <w:tcW w:w="898"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10</w:t>
            </w:r>
          </w:p>
        </w:tc>
        <w:tc>
          <w:tcPr>
            <w:tcW w:w="889" w:type="pct"/>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9</w:t>
            </w:r>
          </w:p>
        </w:tc>
      </w:tr>
      <w:tr w:rsidR="00FD59BB" w:rsidRPr="008963BB" w:rsidTr="00E00DDF">
        <w:trPr>
          <w:trHeight w:hRule="exact" w:val="300"/>
        </w:trPr>
        <w:tc>
          <w:tcPr>
            <w:tcW w:w="5000" w:type="pct"/>
            <w:gridSpan w:val="4"/>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Taking interest rate to be 8% p.a. rank these proposals by using</w:t>
            </w:r>
          </w:p>
        </w:tc>
      </w:tr>
      <w:tr w:rsidR="00FD59BB" w:rsidRPr="008963BB" w:rsidTr="00E00DDF">
        <w:trPr>
          <w:trHeight w:hRule="exact" w:val="300"/>
        </w:trPr>
        <w:tc>
          <w:tcPr>
            <w:tcW w:w="5000" w:type="pct"/>
            <w:gridSpan w:val="4"/>
          </w:tcPr>
          <w:p w:rsidR="00FD59BB" w:rsidRPr="008963BB" w:rsidRDefault="00FD59BB" w:rsidP="00E00DDF">
            <w:pPr>
              <w:spacing w:line="360" w:lineRule="auto"/>
              <w:jc w:val="both"/>
              <w:rPr>
                <w:rFonts w:ascii="Times New Roman" w:hAnsi="Times New Roman"/>
                <w:b/>
                <w:sz w:val="24"/>
                <w:szCs w:val="24"/>
              </w:rPr>
            </w:pPr>
            <w:r w:rsidRPr="008963BB">
              <w:rPr>
                <w:rFonts w:ascii="Times New Roman" w:hAnsi="Times New Roman"/>
                <w:b/>
                <w:sz w:val="24"/>
                <w:szCs w:val="24"/>
              </w:rPr>
              <w:t>Net present value method and Profitability index method.</w:t>
            </w:r>
          </w:p>
        </w:tc>
      </w:tr>
    </w:tbl>
    <w:p w:rsidR="00FD59BB" w:rsidRPr="008963BB" w:rsidRDefault="00FD59BB" w:rsidP="00FD59BB">
      <w:pPr>
        <w:spacing w:line="360" w:lineRule="auto"/>
        <w:jc w:val="both"/>
        <w:rPr>
          <w:rFonts w:ascii="Times New Roman" w:hAnsi="Times New Roman"/>
          <w:b/>
          <w:sz w:val="24"/>
          <w:szCs w:val="24"/>
        </w:rPr>
      </w:pPr>
    </w:p>
    <w:p w:rsidR="008963BB" w:rsidRPr="008963BB" w:rsidRDefault="008963BB" w:rsidP="00FD59BB">
      <w:pPr>
        <w:spacing w:line="360" w:lineRule="auto"/>
        <w:jc w:val="both"/>
        <w:rPr>
          <w:rFonts w:ascii="Times New Roman" w:hAnsi="Times New Roman"/>
          <w:b/>
          <w:sz w:val="24"/>
          <w:szCs w:val="24"/>
        </w:rPr>
      </w:pPr>
      <w:proofErr w:type="spellStart"/>
      <w:r w:rsidRPr="008963BB">
        <w:rPr>
          <w:rFonts w:ascii="Times New Roman" w:hAnsi="Times New Roman"/>
          <w:b/>
          <w:sz w:val="24"/>
          <w:szCs w:val="24"/>
        </w:rPr>
        <w:t>Ans</w:t>
      </w:r>
      <w:proofErr w:type="spellEnd"/>
      <w:r w:rsidRPr="008963BB">
        <w:rPr>
          <w:rFonts w:ascii="Times New Roman" w:hAnsi="Times New Roman"/>
          <w:b/>
          <w:sz w:val="24"/>
          <w:szCs w:val="24"/>
        </w:rPr>
        <w:t xml:space="preserve"> 2.</w:t>
      </w:r>
    </w:p>
    <w:p w:rsidR="008963BB" w:rsidRPr="008963BB" w:rsidRDefault="008963BB" w:rsidP="008963BB">
      <w:pPr>
        <w:spacing w:line="360" w:lineRule="auto"/>
        <w:jc w:val="both"/>
        <w:rPr>
          <w:rFonts w:ascii="Times New Roman" w:hAnsi="Times New Roman"/>
          <w:b/>
          <w:bCs/>
          <w:sz w:val="24"/>
          <w:szCs w:val="24"/>
        </w:rPr>
      </w:pPr>
      <w:r w:rsidRPr="008963BB">
        <w:rPr>
          <w:rFonts w:ascii="Times New Roman" w:hAnsi="Times New Roman"/>
          <w:b/>
          <w:bCs/>
          <w:sz w:val="24"/>
          <w:szCs w:val="24"/>
        </w:rPr>
        <w:t xml:space="preserve">Introduction </w:t>
      </w:r>
    </w:p>
    <w:p w:rsidR="00FD59BB" w:rsidRDefault="008963BB" w:rsidP="002759C8">
      <w:pPr>
        <w:spacing w:line="360" w:lineRule="auto"/>
        <w:jc w:val="both"/>
        <w:rPr>
          <w:rFonts w:ascii="Times New Roman" w:hAnsi="Times New Roman"/>
          <w:sz w:val="24"/>
          <w:szCs w:val="24"/>
        </w:rPr>
      </w:pPr>
      <w:r w:rsidRPr="008963BB">
        <w:rPr>
          <w:rFonts w:ascii="Times New Roman" w:hAnsi="Times New Roman"/>
          <w:sz w:val="24"/>
          <w:szCs w:val="24"/>
        </w:rPr>
        <w:t xml:space="preserve">Investment decisions are pivotal to the financial health and growth of any organization. In corporate finance, the evaluation of investment proposals is crucial for ensuring that resources are allocated efficiently to maximize profitability and shareholder value. Companies are often faced with multiple investment opportunities, each with varying costs, returns, and risks. To make informed decisions, financial managers utilize capital budgeting techniques such as Net Present Value (NPV) and Profitability Index (PI). These tools help in assessing the viability and profitability of investment projects by considering the time value of money. This case study explores three </w:t>
      </w:r>
    </w:p>
    <w:p w:rsidR="002759C8" w:rsidRDefault="002759C8" w:rsidP="002759C8">
      <w:pPr>
        <w:spacing w:line="360" w:lineRule="auto"/>
        <w:jc w:val="both"/>
        <w:rPr>
          <w:rFonts w:ascii="Times New Roman" w:hAnsi="Times New Roman"/>
          <w:sz w:val="24"/>
          <w:szCs w:val="24"/>
        </w:rPr>
      </w:pPr>
    </w:p>
    <w:p w:rsidR="008963BB" w:rsidRPr="0032351B" w:rsidRDefault="008963BB" w:rsidP="00FD59BB">
      <w:pPr>
        <w:spacing w:line="360" w:lineRule="auto"/>
        <w:jc w:val="both"/>
        <w:rPr>
          <w:rFonts w:ascii="Times New Roman" w:hAnsi="Times New Roman"/>
          <w:b/>
          <w:sz w:val="24"/>
          <w:szCs w:val="24"/>
        </w:rPr>
      </w:pPr>
    </w:p>
    <w:p w:rsidR="00FD59BB" w:rsidRPr="0032351B" w:rsidRDefault="00FD59BB" w:rsidP="00FD59BB">
      <w:pPr>
        <w:spacing w:line="360" w:lineRule="auto"/>
        <w:jc w:val="both"/>
        <w:rPr>
          <w:rFonts w:ascii="Times New Roman" w:hAnsi="Times New Roman"/>
          <w:b/>
          <w:sz w:val="24"/>
          <w:szCs w:val="24"/>
        </w:rPr>
      </w:pPr>
      <w:r w:rsidRPr="0032351B">
        <w:rPr>
          <w:rFonts w:ascii="Times New Roman" w:hAnsi="Times New Roman"/>
          <w:b/>
          <w:sz w:val="24"/>
          <w:szCs w:val="24"/>
        </w:rPr>
        <w:t>Q3. Being Working Capital Consultant, your client is planning to start a business related to FMCG sector and he is confused that how much working capital will be required to start his business and also, he wants to know that why service industry requires less working capital, find out:</w:t>
      </w:r>
    </w:p>
    <w:p w:rsidR="00FD59BB" w:rsidRPr="0032351B" w:rsidRDefault="00FD59BB" w:rsidP="00FD59BB">
      <w:pPr>
        <w:spacing w:line="360" w:lineRule="auto"/>
        <w:jc w:val="both"/>
        <w:rPr>
          <w:rFonts w:ascii="Times New Roman" w:hAnsi="Times New Roman"/>
          <w:b/>
          <w:sz w:val="24"/>
          <w:szCs w:val="24"/>
        </w:rPr>
      </w:pPr>
      <w:r w:rsidRPr="0032351B">
        <w:rPr>
          <w:rFonts w:ascii="Times New Roman" w:hAnsi="Times New Roman"/>
          <w:b/>
          <w:sz w:val="24"/>
          <w:szCs w:val="24"/>
        </w:rPr>
        <w:t>a. How to determine the working capital requirement of FMCG business.  (5 Marks)</w:t>
      </w:r>
    </w:p>
    <w:p w:rsidR="00FD59BB" w:rsidRPr="0032351B" w:rsidRDefault="0032351B" w:rsidP="00FD59BB">
      <w:pPr>
        <w:spacing w:line="360" w:lineRule="auto"/>
        <w:jc w:val="both"/>
        <w:rPr>
          <w:rFonts w:ascii="Times New Roman" w:hAnsi="Times New Roman"/>
          <w:b/>
          <w:sz w:val="24"/>
          <w:szCs w:val="24"/>
        </w:rPr>
      </w:pPr>
      <w:proofErr w:type="spellStart"/>
      <w:r w:rsidRPr="0032351B">
        <w:rPr>
          <w:rFonts w:ascii="Times New Roman" w:hAnsi="Times New Roman"/>
          <w:b/>
          <w:sz w:val="24"/>
          <w:szCs w:val="24"/>
        </w:rPr>
        <w:t>Ans</w:t>
      </w:r>
      <w:proofErr w:type="spellEnd"/>
      <w:r w:rsidRPr="0032351B">
        <w:rPr>
          <w:rFonts w:ascii="Times New Roman" w:hAnsi="Times New Roman"/>
          <w:b/>
          <w:sz w:val="24"/>
          <w:szCs w:val="24"/>
        </w:rPr>
        <w:t xml:space="preserve"> 3a.</w:t>
      </w:r>
    </w:p>
    <w:p w:rsidR="0032351B" w:rsidRPr="0032351B" w:rsidRDefault="0032351B" w:rsidP="0032351B">
      <w:pPr>
        <w:spacing w:line="360" w:lineRule="auto"/>
        <w:jc w:val="both"/>
        <w:rPr>
          <w:rFonts w:ascii="Times New Roman" w:hAnsi="Times New Roman"/>
          <w:b/>
          <w:bCs/>
          <w:sz w:val="24"/>
          <w:szCs w:val="24"/>
        </w:rPr>
      </w:pPr>
      <w:r w:rsidRPr="0032351B">
        <w:rPr>
          <w:rFonts w:ascii="Times New Roman" w:hAnsi="Times New Roman"/>
          <w:b/>
          <w:bCs/>
          <w:sz w:val="24"/>
          <w:szCs w:val="24"/>
        </w:rPr>
        <w:t xml:space="preserve">Introduction </w:t>
      </w:r>
    </w:p>
    <w:p w:rsidR="0032351B" w:rsidRDefault="0032351B" w:rsidP="002759C8">
      <w:pPr>
        <w:spacing w:line="360" w:lineRule="auto"/>
        <w:jc w:val="both"/>
        <w:rPr>
          <w:rFonts w:ascii="Times New Roman" w:hAnsi="Times New Roman"/>
          <w:sz w:val="24"/>
          <w:szCs w:val="24"/>
        </w:rPr>
      </w:pPr>
      <w:r w:rsidRPr="0032351B">
        <w:rPr>
          <w:rFonts w:ascii="Times New Roman" w:hAnsi="Times New Roman"/>
          <w:sz w:val="24"/>
          <w:szCs w:val="24"/>
        </w:rPr>
        <w:t xml:space="preserve">Working capital is the lifeblood of any business, especially in the Fast-Moving Consumer Goods (FMCG) sector, where high inventory turnover and rapid sales cycles are common. </w:t>
      </w:r>
      <w:r w:rsidRPr="0032351B">
        <w:rPr>
          <w:rFonts w:ascii="Times New Roman" w:hAnsi="Times New Roman"/>
          <w:sz w:val="24"/>
          <w:szCs w:val="24"/>
        </w:rPr>
        <w:lastRenderedPageBreak/>
        <w:t>Adequate working capital ensures smooth day-to-day operations, timely payments to suppliers, and uninterrupted sales</w:t>
      </w:r>
    </w:p>
    <w:p w:rsidR="002759C8" w:rsidRPr="0032351B" w:rsidRDefault="002759C8" w:rsidP="002759C8">
      <w:pPr>
        <w:spacing w:line="360" w:lineRule="auto"/>
        <w:jc w:val="both"/>
        <w:rPr>
          <w:rFonts w:ascii="Times New Roman" w:hAnsi="Times New Roman"/>
          <w:b/>
          <w:sz w:val="24"/>
          <w:szCs w:val="24"/>
        </w:rPr>
      </w:pPr>
    </w:p>
    <w:p w:rsidR="0032351B" w:rsidRPr="0032351B" w:rsidRDefault="0032351B" w:rsidP="0032351B">
      <w:pPr>
        <w:spacing w:line="360" w:lineRule="auto"/>
        <w:jc w:val="both"/>
        <w:rPr>
          <w:rFonts w:ascii="Times New Roman" w:hAnsi="Times New Roman"/>
          <w:b/>
          <w:sz w:val="24"/>
          <w:szCs w:val="24"/>
        </w:rPr>
      </w:pPr>
      <w:r w:rsidRPr="0032351B">
        <w:rPr>
          <w:rFonts w:ascii="Times New Roman" w:hAnsi="Times New Roman"/>
          <w:b/>
          <w:sz w:val="24"/>
          <w:szCs w:val="24"/>
        </w:rPr>
        <w:t>b. Why service industry requires less working capital as compare to manufacturing industry.  (5 Marks)</w:t>
      </w:r>
    </w:p>
    <w:p w:rsidR="0032351B" w:rsidRPr="0032351B" w:rsidRDefault="0032351B" w:rsidP="0032351B">
      <w:pPr>
        <w:spacing w:line="360" w:lineRule="auto"/>
        <w:jc w:val="both"/>
        <w:rPr>
          <w:rFonts w:ascii="Times New Roman" w:hAnsi="Times New Roman"/>
          <w:b/>
          <w:sz w:val="24"/>
          <w:szCs w:val="24"/>
        </w:rPr>
      </w:pPr>
      <w:proofErr w:type="spellStart"/>
      <w:r w:rsidRPr="0032351B">
        <w:rPr>
          <w:rFonts w:ascii="Times New Roman" w:hAnsi="Times New Roman"/>
          <w:b/>
          <w:sz w:val="24"/>
          <w:szCs w:val="24"/>
        </w:rPr>
        <w:t>Ans</w:t>
      </w:r>
      <w:proofErr w:type="spellEnd"/>
      <w:r w:rsidRPr="0032351B">
        <w:rPr>
          <w:rFonts w:ascii="Times New Roman" w:hAnsi="Times New Roman"/>
          <w:b/>
          <w:sz w:val="24"/>
          <w:szCs w:val="24"/>
        </w:rPr>
        <w:t xml:space="preserve"> 3b.</w:t>
      </w:r>
    </w:p>
    <w:p w:rsidR="0032351B" w:rsidRPr="0032351B" w:rsidRDefault="0032351B" w:rsidP="0032351B">
      <w:pPr>
        <w:spacing w:line="360" w:lineRule="auto"/>
        <w:jc w:val="both"/>
        <w:rPr>
          <w:rFonts w:ascii="Times New Roman" w:hAnsi="Times New Roman"/>
          <w:b/>
          <w:bCs/>
          <w:sz w:val="24"/>
          <w:szCs w:val="24"/>
        </w:rPr>
      </w:pPr>
      <w:r w:rsidRPr="0032351B">
        <w:rPr>
          <w:rFonts w:ascii="Times New Roman" w:hAnsi="Times New Roman"/>
          <w:b/>
          <w:bCs/>
          <w:sz w:val="24"/>
          <w:szCs w:val="24"/>
        </w:rPr>
        <w:t xml:space="preserve">Introduction </w:t>
      </w:r>
    </w:p>
    <w:p w:rsidR="00FD59BB" w:rsidRPr="000F2D03" w:rsidRDefault="0032351B" w:rsidP="002759C8">
      <w:pPr>
        <w:spacing w:line="360" w:lineRule="auto"/>
        <w:jc w:val="both"/>
        <w:rPr>
          <w:rFonts w:ascii="Times New Roman" w:hAnsi="Times New Roman"/>
          <w:sz w:val="24"/>
          <w:szCs w:val="24"/>
        </w:rPr>
      </w:pPr>
      <w:r w:rsidRPr="0032351B">
        <w:rPr>
          <w:rFonts w:ascii="Times New Roman" w:hAnsi="Times New Roman"/>
          <w:sz w:val="24"/>
          <w:szCs w:val="24"/>
        </w:rPr>
        <w:t xml:space="preserve">Working capital is essential for any business to maintain operational liquidity and ensure smooth day-to-day activities. However, the working capital requirements differ significantly between service and manufacturing industries. </w:t>
      </w:r>
      <w:r w:rsidR="00DD0524">
        <w:rPr>
          <w:rFonts w:ascii="Times New Roman" w:hAnsi="Times New Roman"/>
          <w:sz w:val="24"/>
          <w:szCs w:val="24"/>
        </w:rPr>
        <w:t xml:space="preserve">Due to its low inventory and short cash conversion cycles, the service business needs less working capital. This section explains why service-oriented enterprises require less working capital than industrial firms and highlights their financial </w:t>
      </w:r>
    </w:p>
    <w:p w:rsidR="00D521CB" w:rsidRDefault="00D521CB"/>
    <w:sectPr w:rsidR="00D521CB" w:rsidSect="000F2D03">
      <w:headerReference w:type="default" r:id="rId10"/>
      <w:footerReference w:type="default" r:id="rId11"/>
      <w:pgSz w:w="11920" w:h="16840"/>
      <w:pgMar w:top="1440" w:right="1440" w:bottom="1440" w:left="1440" w:header="720" w:footer="1012" w:gutter="0"/>
      <w:cols w:space="720" w:equalWidth="0">
        <w:col w:w="916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7A" w:rsidRDefault="00A94F7A" w:rsidP="00AC182A">
      <w:pPr>
        <w:spacing w:after="0" w:line="240" w:lineRule="auto"/>
      </w:pPr>
      <w:r>
        <w:separator/>
      </w:r>
    </w:p>
  </w:endnote>
  <w:endnote w:type="continuationSeparator" w:id="0">
    <w:p w:rsidR="00A94F7A" w:rsidRDefault="00A94F7A" w:rsidP="00AC1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5B" w:rsidRDefault="00AC182A">
    <w:pPr>
      <w:widowControl w:val="0"/>
      <w:autoSpaceDE w:val="0"/>
      <w:autoSpaceDN w:val="0"/>
      <w:adjustRightInd w:val="0"/>
      <w:spacing w:after="0" w:line="200" w:lineRule="exact"/>
      <w:rPr>
        <w:rFonts w:ascii="Times New Roman" w:hAnsi="Times New Roman"/>
        <w:sz w:val="20"/>
        <w:szCs w:val="20"/>
      </w:rPr>
    </w:pPr>
    <w:r w:rsidRPr="00AC182A">
      <w:rPr>
        <w:noProof/>
      </w:rPr>
      <w:pict>
        <v:shapetype id="_x0000_t202" coordsize="21600,21600" o:spt="202" path="m,l,21600r21600,l21600,xe">
          <v:stroke joinstyle="miter"/>
          <v:path gradientshapeok="t" o:connecttype="rect"/>
        </v:shapetype>
        <v:shape id="Text Box 2" o:spid="_x0000_s4097" type="#_x0000_t202" style="position:absolute;margin-left:265.55pt;margin-top:780.3pt;width:51.4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F4025B" w:rsidRDefault="00A94F7A">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7A" w:rsidRDefault="00A94F7A" w:rsidP="00AC182A">
      <w:pPr>
        <w:spacing w:after="0" w:line="240" w:lineRule="auto"/>
      </w:pPr>
      <w:r>
        <w:separator/>
      </w:r>
    </w:p>
  </w:footnote>
  <w:footnote w:type="continuationSeparator" w:id="0">
    <w:p w:rsidR="00A94F7A" w:rsidRDefault="00A94F7A" w:rsidP="00AC1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5B" w:rsidRDefault="00AC182A">
    <w:pPr>
      <w:widowControl w:val="0"/>
      <w:autoSpaceDE w:val="0"/>
      <w:autoSpaceDN w:val="0"/>
      <w:adjustRightInd w:val="0"/>
      <w:spacing w:after="0" w:line="200" w:lineRule="exact"/>
      <w:rPr>
        <w:rFonts w:ascii="Times New Roman" w:hAnsi="Times New Roman"/>
        <w:sz w:val="20"/>
        <w:szCs w:val="20"/>
      </w:rPr>
    </w:pPr>
    <w:r w:rsidRPr="00AC182A">
      <w:rPr>
        <w:noProof/>
      </w:rPr>
      <w:pict>
        <v:rect id="Rectangle 1" o:spid="_x0000_s4098" style="position:absolute;margin-left:208.3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F4025B" w:rsidRDefault="00A94F7A">
                <w:pPr>
                  <w:spacing w:after="0" w:line="1180" w:lineRule="atLeast"/>
                  <w:rPr>
                    <w:rFonts w:ascii="Times New Roman" w:hAnsi="Times New Roman"/>
                    <w:sz w:val="24"/>
                    <w:szCs w:val="24"/>
                  </w:rPr>
                </w:pPr>
              </w:p>
              <w:p w:rsidR="00F4025B" w:rsidRDefault="00A94F7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F59AA57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1E12F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D59BB"/>
    <w:rsid w:val="002759C8"/>
    <w:rsid w:val="002A706E"/>
    <w:rsid w:val="0032351B"/>
    <w:rsid w:val="004405C7"/>
    <w:rsid w:val="00540C60"/>
    <w:rsid w:val="007268E0"/>
    <w:rsid w:val="008963BB"/>
    <w:rsid w:val="00A71564"/>
    <w:rsid w:val="00A94F7A"/>
    <w:rsid w:val="00AC182A"/>
    <w:rsid w:val="00C3129A"/>
    <w:rsid w:val="00C42FD7"/>
    <w:rsid w:val="00D521CB"/>
    <w:rsid w:val="00DD0524"/>
    <w:rsid w:val="00F92D1C"/>
    <w:rsid w:val="00FD5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BB"/>
    <w:pPr>
      <w:spacing w:after="160" w:line="259" w:lineRule="auto"/>
    </w:pPr>
    <w:rPr>
      <w:rFonts w:ascii="Calibri" w:eastAsia="Times New Roman" w:hAnsi="Calibri" w:cs="Times New Roman"/>
      <w:lang w:eastAsia="en-IN"/>
    </w:rPr>
  </w:style>
  <w:style w:type="paragraph" w:styleId="Heading2">
    <w:name w:val="heading 2"/>
    <w:basedOn w:val="Normal"/>
    <w:next w:val="Normal"/>
    <w:link w:val="Heading2Char"/>
    <w:uiPriority w:val="9"/>
    <w:semiHidden/>
    <w:unhideWhenUsed/>
    <w:qFormat/>
    <w:rsid w:val="003235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semiHidden/>
    <w:unhideWhenUsed/>
    <w:qFormat/>
    <w:rsid w:val="008963BB"/>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8963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9BB"/>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63BB"/>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8963BB"/>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8963BB"/>
    <w:rPr>
      <w:rFonts w:ascii="Times New Roman" w:hAnsi="Times New Roman"/>
      <w:sz w:val="24"/>
      <w:szCs w:val="24"/>
      <w:lang w:val="en-US"/>
    </w:rPr>
  </w:style>
  <w:style w:type="paragraph" w:customStyle="1" w:styleId="FirstParagraph">
    <w:name w:val="First Paragraph"/>
    <w:basedOn w:val="BodyText"/>
    <w:next w:val="BodyText"/>
    <w:qFormat/>
    <w:rsid w:val="008963BB"/>
  </w:style>
  <w:style w:type="paragraph" w:customStyle="1" w:styleId="Compact">
    <w:name w:val="Compact"/>
    <w:basedOn w:val="BodyText"/>
    <w:qFormat/>
    <w:rsid w:val="008963BB"/>
    <w:pPr>
      <w:spacing w:before="36" w:after="36"/>
    </w:pPr>
  </w:style>
  <w:style w:type="table" w:customStyle="1" w:styleId="Table">
    <w:name w:val="Table"/>
    <w:semiHidden/>
    <w:unhideWhenUsed/>
    <w:qFormat/>
    <w:rsid w:val="008963BB"/>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4Char">
    <w:name w:val="Heading 4 Char"/>
    <w:basedOn w:val="DefaultParagraphFont"/>
    <w:link w:val="Heading4"/>
    <w:uiPriority w:val="9"/>
    <w:semiHidden/>
    <w:rsid w:val="008963BB"/>
    <w:rPr>
      <w:rFonts w:asciiTheme="majorHAnsi" w:eastAsiaTheme="majorEastAsia" w:hAnsiTheme="majorHAnsi" w:cstheme="majorBidi"/>
      <w:i/>
      <w:iCs/>
      <w:color w:val="365F91" w:themeColor="accent1" w:themeShade="BF"/>
      <w:lang w:eastAsia="en-IN"/>
    </w:rPr>
  </w:style>
  <w:style w:type="character" w:customStyle="1" w:styleId="Heading2Char">
    <w:name w:val="Heading 2 Char"/>
    <w:basedOn w:val="DefaultParagraphFont"/>
    <w:link w:val="Heading2"/>
    <w:uiPriority w:val="9"/>
    <w:semiHidden/>
    <w:rsid w:val="0032351B"/>
    <w:rPr>
      <w:rFonts w:asciiTheme="majorHAnsi" w:eastAsiaTheme="majorEastAsia" w:hAnsiTheme="majorHAnsi" w:cstheme="majorBidi"/>
      <w:color w:val="365F91" w:themeColor="accent1" w:themeShade="BF"/>
      <w:sz w:val="26"/>
      <w:szCs w:val="26"/>
      <w:lang w:eastAsia="en-IN"/>
    </w:rPr>
  </w:style>
  <w:style w:type="paragraph" w:styleId="ListParagraph">
    <w:name w:val="List Paragraph"/>
    <w:basedOn w:val="Normal"/>
    <w:uiPriority w:val="34"/>
    <w:qFormat/>
    <w:rsid w:val="0032351B"/>
    <w:pPr>
      <w:ind w:left="720"/>
      <w:contextualSpacing/>
    </w:pPr>
  </w:style>
  <w:style w:type="paragraph" w:styleId="BalloonText">
    <w:name w:val="Balloon Text"/>
    <w:basedOn w:val="Normal"/>
    <w:link w:val="BalloonTextChar"/>
    <w:uiPriority w:val="99"/>
    <w:semiHidden/>
    <w:unhideWhenUsed/>
    <w:rsid w:val="0027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C8"/>
    <w:rPr>
      <w:rFonts w:ascii="Tahoma" w:eastAsia="Times New Roman" w:hAnsi="Tahoma" w:cs="Tahoma"/>
      <w:sz w:val="16"/>
      <w:szCs w:val="16"/>
      <w:lang w:eastAsia="en-IN"/>
    </w:rPr>
  </w:style>
  <w:style w:type="character" w:styleId="Hyperlink">
    <w:name w:val="Hyperlink"/>
    <w:uiPriority w:val="99"/>
    <w:semiHidden/>
    <w:unhideWhenUsed/>
    <w:rsid w:val="002759C8"/>
    <w:rPr>
      <w:color w:val="0563C1"/>
      <w:u w:val="single"/>
    </w:rPr>
  </w:style>
</w:styles>
</file>

<file path=word/webSettings.xml><?xml version="1.0" encoding="utf-8"?>
<w:webSettings xmlns:r="http://schemas.openxmlformats.org/officeDocument/2006/relationships" xmlns:w="http://schemas.openxmlformats.org/wordprocessingml/2006/main">
  <w:divs>
    <w:div w:id="704214712">
      <w:bodyDiv w:val="1"/>
      <w:marLeft w:val="0"/>
      <w:marRight w:val="0"/>
      <w:marTop w:val="0"/>
      <w:marBottom w:val="0"/>
      <w:divBdr>
        <w:top w:val="none" w:sz="0" w:space="0" w:color="auto"/>
        <w:left w:val="none" w:sz="0" w:space="0" w:color="auto"/>
        <w:bottom w:val="none" w:sz="0" w:space="0" w:color="auto"/>
        <w:right w:val="none" w:sz="0" w:space="0" w:color="auto"/>
      </w:divBdr>
      <w:divsChild>
        <w:div w:id="881554933">
          <w:marLeft w:val="0"/>
          <w:marRight w:val="0"/>
          <w:marTop w:val="0"/>
          <w:marBottom w:val="0"/>
          <w:divBdr>
            <w:top w:val="none" w:sz="0" w:space="0" w:color="auto"/>
            <w:left w:val="none" w:sz="0" w:space="0" w:color="auto"/>
            <w:bottom w:val="none" w:sz="0" w:space="0" w:color="auto"/>
            <w:right w:val="none" w:sz="0" w:space="0" w:color="auto"/>
          </w:divBdr>
          <w:divsChild>
            <w:div w:id="28460565">
              <w:marLeft w:val="0"/>
              <w:marRight w:val="0"/>
              <w:marTop w:val="0"/>
              <w:marBottom w:val="0"/>
              <w:divBdr>
                <w:top w:val="none" w:sz="0" w:space="0" w:color="auto"/>
                <w:left w:val="none" w:sz="0" w:space="0" w:color="auto"/>
                <w:bottom w:val="none" w:sz="0" w:space="0" w:color="auto"/>
                <w:right w:val="none" w:sz="0" w:space="0" w:color="auto"/>
              </w:divBdr>
              <w:divsChild>
                <w:div w:id="884290040">
                  <w:marLeft w:val="0"/>
                  <w:marRight w:val="0"/>
                  <w:marTop w:val="0"/>
                  <w:marBottom w:val="0"/>
                  <w:divBdr>
                    <w:top w:val="none" w:sz="0" w:space="0" w:color="auto"/>
                    <w:left w:val="none" w:sz="0" w:space="0" w:color="auto"/>
                    <w:bottom w:val="none" w:sz="0" w:space="0" w:color="auto"/>
                    <w:right w:val="none" w:sz="0" w:space="0" w:color="auto"/>
                  </w:divBdr>
                  <w:divsChild>
                    <w:div w:id="13356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6452">
          <w:marLeft w:val="0"/>
          <w:marRight w:val="0"/>
          <w:marTop w:val="0"/>
          <w:marBottom w:val="0"/>
          <w:divBdr>
            <w:top w:val="none" w:sz="0" w:space="0" w:color="auto"/>
            <w:left w:val="none" w:sz="0" w:space="0" w:color="auto"/>
            <w:bottom w:val="none" w:sz="0" w:space="0" w:color="auto"/>
            <w:right w:val="none" w:sz="0" w:space="0" w:color="auto"/>
          </w:divBdr>
          <w:divsChild>
            <w:div w:id="2069331498">
              <w:marLeft w:val="0"/>
              <w:marRight w:val="0"/>
              <w:marTop w:val="0"/>
              <w:marBottom w:val="0"/>
              <w:divBdr>
                <w:top w:val="none" w:sz="0" w:space="0" w:color="auto"/>
                <w:left w:val="none" w:sz="0" w:space="0" w:color="auto"/>
                <w:bottom w:val="none" w:sz="0" w:space="0" w:color="auto"/>
                <w:right w:val="none" w:sz="0" w:space="0" w:color="auto"/>
              </w:divBdr>
              <w:divsChild>
                <w:div w:id="209148314">
                  <w:marLeft w:val="0"/>
                  <w:marRight w:val="0"/>
                  <w:marTop w:val="0"/>
                  <w:marBottom w:val="0"/>
                  <w:divBdr>
                    <w:top w:val="none" w:sz="0" w:space="0" w:color="auto"/>
                    <w:left w:val="none" w:sz="0" w:space="0" w:color="auto"/>
                    <w:bottom w:val="none" w:sz="0" w:space="0" w:color="auto"/>
                    <w:right w:val="none" w:sz="0" w:space="0" w:color="auto"/>
                  </w:divBdr>
                  <w:divsChild>
                    <w:div w:id="14323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596">
      <w:bodyDiv w:val="1"/>
      <w:marLeft w:val="0"/>
      <w:marRight w:val="0"/>
      <w:marTop w:val="0"/>
      <w:marBottom w:val="0"/>
      <w:divBdr>
        <w:top w:val="none" w:sz="0" w:space="0" w:color="auto"/>
        <w:left w:val="none" w:sz="0" w:space="0" w:color="auto"/>
        <w:bottom w:val="none" w:sz="0" w:space="0" w:color="auto"/>
        <w:right w:val="none" w:sz="0" w:space="0" w:color="auto"/>
      </w:divBdr>
    </w:div>
    <w:div w:id="860359002">
      <w:bodyDiv w:val="1"/>
      <w:marLeft w:val="0"/>
      <w:marRight w:val="0"/>
      <w:marTop w:val="0"/>
      <w:marBottom w:val="0"/>
      <w:divBdr>
        <w:top w:val="none" w:sz="0" w:space="0" w:color="auto"/>
        <w:left w:val="none" w:sz="0" w:space="0" w:color="auto"/>
        <w:bottom w:val="none" w:sz="0" w:space="0" w:color="auto"/>
        <w:right w:val="none" w:sz="0" w:space="0" w:color="auto"/>
      </w:divBdr>
      <w:divsChild>
        <w:div w:id="1204903249">
          <w:marLeft w:val="0"/>
          <w:marRight w:val="0"/>
          <w:marTop w:val="0"/>
          <w:marBottom w:val="0"/>
          <w:divBdr>
            <w:top w:val="none" w:sz="0" w:space="0" w:color="auto"/>
            <w:left w:val="none" w:sz="0" w:space="0" w:color="auto"/>
            <w:bottom w:val="none" w:sz="0" w:space="0" w:color="auto"/>
            <w:right w:val="none" w:sz="0" w:space="0" w:color="auto"/>
          </w:divBdr>
          <w:divsChild>
            <w:div w:id="1770806630">
              <w:marLeft w:val="0"/>
              <w:marRight w:val="0"/>
              <w:marTop w:val="0"/>
              <w:marBottom w:val="0"/>
              <w:divBdr>
                <w:top w:val="none" w:sz="0" w:space="0" w:color="auto"/>
                <w:left w:val="none" w:sz="0" w:space="0" w:color="auto"/>
                <w:bottom w:val="none" w:sz="0" w:space="0" w:color="auto"/>
                <w:right w:val="none" w:sz="0" w:space="0" w:color="auto"/>
              </w:divBdr>
              <w:divsChild>
                <w:div w:id="334847792">
                  <w:marLeft w:val="0"/>
                  <w:marRight w:val="0"/>
                  <w:marTop w:val="0"/>
                  <w:marBottom w:val="0"/>
                  <w:divBdr>
                    <w:top w:val="none" w:sz="0" w:space="0" w:color="auto"/>
                    <w:left w:val="none" w:sz="0" w:space="0" w:color="auto"/>
                    <w:bottom w:val="none" w:sz="0" w:space="0" w:color="auto"/>
                    <w:right w:val="none" w:sz="0" w:space="0" w:color="auto"/>
                  </w:divBdr>
                  <w:divsChild>
                    <w:div w:id="17530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4263">
          <w:marLeft w:val="0"/>
          <w:marRight w:val="0"/>
          <w:marTop w:val="0"/>
          <w:marBottom w:val="0"/>
          <w:divBdr>
            <w:top w:val="none" w:sz="0" w:space="0" w:color="auto"/>
            <w:left w:val="none" w:sz="0" w:space="0" w:color="auto"/>
            <w:bottom w:val="none" w:sz="0" w:space="0" w:color="auto"/>
            <w:right w:val="none" w:sz="0" w:space="0" w:color="auto"/>
          </w:divBdr>
          <w:divsChild>
            <w:div w:id="141889906">
              <w:marLeft w:val="0"/>
              <w:marRight w:val="0"/>
              <w:marTop w:val="0"/>
              <w:marBottom w:val="0"/>
              <w:divBdr>
                <w:top w:val="none" w:sz="0" w:space="0" w:color="auto"/>
                <w:left w:val="none" w:sz="0" w:space="0" w:color="auto"/>
                <w:bottom w:val="none" w:sz="0" w:space="0" w:color="auto"/>
                <w:right w:val="none" w:sz="0" w:space="0" w:color="auto"/>
              </w:divBdr>
              <w:divsChild>
                <w:div w:id="948857463">
                  <w:marLeft w:val="0"/>
                  <w:marRight w:val="0"/>
                  <w:marTop w:val="0"/>
                  <w:marBottom w:val="0"/>
                  <w:divBdr>
                    <w:top w:val="none" w:sz="0" w:space="0" w:color="auto"/>
                    <w:left w:val="none" w:sz="0" w:space="0" w:color="auto"/>
                    <w:bottom w:val="none" w:sz="0" w:space="0" w:color="auto"/>
                    <w:right w:val="none" w:sz="0" w:space="0" w:color="auto"/>
                  </w:divBdr>
                  <w:divsChild>
                    <w:div w:id="1749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5095">
      <w:bodyDiv w:val="1"/>
      <w:marLeft w:val="0"/>
      <w:marRight w:val="0"/>
      <w:marTop w:val="0"/>
      <w:marBottom w:val="0"/>
      <w:divBdr>
        <w:top w:val="none" w:sz="0" w:space="0" w:color="auto"/>
        <w:left w:val="none" w:sz="0" w:space="0" w:color="auto"/>
        <w:bottom w:val="none" w:sz="0" w:space="0" w:color="auto"/>
        <w:right w:val="none" w:sz="0" w:space="0" w:color="auto"/>
      </w:divBdr>
      <w:divsChild>
        <w:div w:id="1423379683">
          <w:marLeft w:val="0"/>
          <w:marRight w:val="0"/>
          <w:marTop w:val="0"/>
          <w:marBottom w:val="0"/>
          <w:divBdr>
            <w:top w:val="none" w:sz="0" w:space="0" w:color="auto"/>
            <w:left w:val="none" w:sz="0" w:space="0" w:color="auto"/>
            <w:bottom w:val="none" w:sz="0" w:space="0" w:color="auto"/>
            <w:right w:val="none" w:sz="0" w:space="0" w:color="auto"/>
          </w:divBdr>
          <w:divsChild>
            <w:div w:id="2138139491">
              <w:marLeft w:val="0"/>
              <w:marRight w:val="0"/>
              <w:marTop w:val="0"/>
              <w:marBottom w:val="0"/>
              <w:divBdr>
                <w:top w:val="none" w:sz="0" w:space="0" w:color="auto"/>
                <w:left w:val="none" w:sz="0" w:space="0" w:color="auto"/>
                <w:bottom w:val="none" w:sz="0" w:space="0" w:color="auto"/>
                <w:right w:val="none" w:sz="0" w:space="0" w:color="auto"/>
              </w:divBdr>
              <w:divsChild>
                <w:div w:id="1496452814">
                  <w:marLeft w:val="0"/>
                  <w:marRight w:val="0"/>
                  <w:marTop w:val="0"/>
                  <w:marBottom w:val="0"/>
                  <w:divBdr>
                    <w:top w:val="none" w:sz="0" w:space="0" w:color="auto"/>
                    <w:left w:val="none" w:sz="0" w:space="0" w:color="auto"/>
                    <w:bottom w:val="none" w:sz="0" w:space="0" w:color="auto"/>
                    <w:right w:val="none" w:sz="0" w:space="0" w:color="auto"/>
                  </w:divBdr>
                  <w:divsChild>
                    <w:div w:id="2126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9121">
          <w:marLeft w:val="0"/>
          <w:marRight w:val="0"/>
          <w:marTop w:val="0"/>
          <w:marBottom w:val="0"/>
          <w:divBdr>
            <w:top w:val="none" w:sz="0" w:space="0" w:color="auto"/>
            <w:left w:val="none" w:sz="0" w:space="0" w:color="auto"/>
            <w:bottom w:val="none" w:sz="0" w:space="0" w:color="auto"/>
            <w:right w:val="none" w:sz="0" w:space="0" w:color="auto"/>
          </w:divBdr>
          <w:divsChild>
            <w:div w:id="2047487368">
              <w:marLeft w:val="0"/>
              <w:marRight w:val="0"/>
              <w:marTop w:val="0"/>
              <w:marBottom w:val="0"/>
              <w:divBdr>
                <w:top w:val="none" w:sz="0" w:space="0" w:color="auto"/>
                <w:left w:val="none" w:sz="0" w:space="0" w:color="auto"/>
                <w:bottom w:val="none" w:sz="0" w:space="0" w:color="auto"/>
                <w:right w:val="none" w:sz="0" w:space="0" w:color="auto"/>
              </w:divBdr>
              <w:divsChild>
                <w:div w:id="656154873">
                  <w:marLeft w:val="0"/>
                  <w:marRight w:val="0"/>
                  <w:marTop w:val="0"/>
                  <w:marBottom w:val="0"/>
                  <w:divBdr>
                    <w:top w:val="none" w:sz="0" w:space="0" w:color="auto"/>
                    <w:left w:val="none" w:sz="0" w:space="0" w:color="auto"/>
                    <w:bottom w:val="none" w:sz="0" w:space="0" w:color="auto"/>
                    <w:right w:val="none" w:sz="0" w:space="0" w:color="auto"/>
                  </w:divBdr>
                  <w:divsChild>
                    <w:div w:id="21311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465379">
          <w:marLeft w:val="0"/>
          <w:marRight w:val="0"/>
          <w:marTop w:val="0"/>
          <w:marBottom w:val="0"/>
          <w:divBdr>
            <w:top w:val="none" w:sz="0" w:space="0" w:color="auto"/>
            <w:left w:val="none" w:sz="0" w:space="0" w:color="auto"/>
            <w:bottom w:val="none" w:sz="0" w:space="0" w:color="auto"/>
            <w:right w:val="none" w:sz="0" w:space="0" w:color="auto"/>
          </w:divBdr>
          <w:divsChild>
            <w:div w:id="1954164317">
              <w:marLeft w:val="0"/>
              <w:marRight w:val="0"/>
              <w:marTop w:val="0"/>
              <w:marBottom w:val="0"/>
              <w:divBdr>
                <w:top w:val="none" w:sz="0" w:space="0" w:color="auto"/>
                <w:left w:val="none" w:sz="0" w:space="0" w:color="auto"/>
                <w:bottom w:val="none" w:sz="0" w:space="0" w:color="auto"/>
                <w:right w:val="none" w:sz="0" w:space="0" w:color="auto"/>
              </w:divBdr>
              <w:divsChild>
                <w:div w:id="1363938001">
                  <w:marLeft w:val="0"/>
                  <w:marRight w:val="0"/>
                  <w:marTop w:val="0"/>
                  <w:marBottom w:val="0"/>
                  <w:divBdr>
                    <w:top w:val="none" w:sz="0" w:space="0" w:color="auto"/>
                    <w:left w:val="none" w:sz="0" w:space="0" w:color="auto"/>
                    <w:bottom w:val="none" w:sz="0" w:space="0" w:color="auto"/>
                    <w:right w:val="none" w:sz="0" w:space="0" w:color="auto"/>
                  </w:divBdr>
                  <w:divsChild>
                    <w:div w:id="13825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1839">
          <w:marLeft w:val="0"/>
          <w:marRight w:val="0"/>
          <w:marTop w:val="0"/>
          <w:marBottom w:val="0"/>
          <w:divBdr>
            <w:top w:val="none" w:sz="0" w:space="0" w:color="auto"/>
            <w:left w:val="none" w:sz="0" w:space="0" w:color="auto"/>
            <w:bottom w:val="none" w:sz="0" w:space="0" w:color="auto"/>
            <w:right w:val="none" w:sz="0" w:space="0" w:color="auto"/>
          </w:divBdr>
          <w:divsChild>
            <w:div w:id="1159535477">
              <w:marLeft w:val="0"/>
              <w:marRight w:val="0"/>
              <w:marTop w:val="0"/>
              <w:marBottom w:val="0"/>
              <w:divBdr>
                <w:top w:val="none" w:sz="0" w:space="0" w:color="auto"/>
                <w:left w:val="none" w:sz="0" w:space="0" w:color="auto"/>
                <w:bottom w:val="none" w:sz="0" w:space="0" w:color="auto"/>
                <w:right w:val="none" w:sz="0" w:space="0" w:color="auto"/>
              </w:divBdr>
              <w:divsChild>
                <w:div w:id="1317807041">
                  <w:marLeft w:val="0"/>
                  <w:marRight w:val="0"/>
                  <w:marTop w:val="0"/>
                  <w:marBottom w:val="0"/>
                  <w:divBdr>
                    <w:top w:val="none" w:sz="0" w:space="0" w:color="auto"/>
                    <w:left w:val="none" w:sz="0" w:space="0" w:color="auto"/>
                    <w:bottom w:val="none" w:sz="0" w:space="0" w:color="auto"/>
                    <w:right w:val="none" w:sz="0" w:space="0" w:color="auto"/>
                  </w:divBdr>
                  <w:divsChild>
                    <w:div w:id="11732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6113">
      <w:bodyDiv w:val="1"/>
      <w:marLeft w:val="0"/>
      <w:marRight w:val="0"/>
      <w:marTop w:val="0"/>
      <w:marBottom w:val="0"/>
      <w:divBdr>
        <w:top w:val="none" w:sz="0" w:space="0" w:color="auto"/>
        <w:left w:val="none" w:sz="0" w:space="0" w:color="auto"/>
        <w:bottom w:val="none" w:sz="0" w:space="0" w:color="auto"/>
        <w:right w:val="none" w:sz="0" w:space="0" w:color="auto"/>
      </w:divBdr>
      <w:divsChild>
        <w:div w:id="1651397183">
          <w:marLeft w:val="0"/>
          <w:marRight w:val="0"/>
          <w:marTop w:val="0"/>
          <w:marBottom w:val="0"/>
          <w:divBdr>
            <w:top w:val="none" w:sz="0" w:space="0" w:color="auto"/>
            <w:left w:val="none" w:sz="0" w:space="0" w:color="auto"/>
            <w:bottom w:val="none" w:sz="0" w:space="0" w:color="auto"/>
            <w:right w:val="none" w:sz="0" w:space="0" w:color="auto"/>
          </w:divBdr>
          <w:divsChild>
            <w:div w:id="1510218473">
              <w:marLeft w:val="0"/>
              <w:marRight w:val="0"/>
              <w:marTop w:val="0"/>
              <w:marBottom w:val="0"/>
              <w:divBdr>
                <w:top w:val="none" w:sz="0" w:space="0" w:color="auto"/>
                <w:left w:val="none" w:sz="0" w:space="0" w:color="auto"/>
                <w:bottom w:val="none" w:sz="0" w:space="0" w:color="auto"/>
                <w:right w:val="none" w:sz="0" w:space="0" w:color="auto"/>
              </w:divBdr>
              <w:divsChild>
                <w:div w:id="510950791">
                  <w:marLeft w:val="0"/>
                  <w:marRight w:val="0"/>
                  <w:marTop w:val="0"/>
                  <w:marBottom w:val="0"/>
                  <w:divBdr>
                    <w:top w:val="none" w:sz="0" w:space="0" w:color="auto"/>
                    <w:left w:val="none" w:sz="0" w:space="0" w:color="auto"/>
                    <w:bottom w:val="none" w:sz="0" w:space="0" w:color="auto"/>
                    <w:right w:val="none" w:sz="0" w:space="0" w:color="auto"/>
                  </w:divBdr>
                  <w:divsChild>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862">
          <w:marLeft w:val="0"/>
          <w:marRight w:val="0"/>
          <w:marTop w:val="0"/>
          <w:marBottom w:val="0"/>
          <w:divBdr>
            <w:top w:val="none" w:sz="0" w:space="0" w:color="auto"/>
            <w:left w:val="none" w:sz="0" w:space="0" w:color="auto"/>
            <w:bottom w:val="none" w:sz="0" w:space="0" w:color="auto"/>
            <w:right w:val="none" w:sz="0" w:space="0" w:color="auto"/>
          </w:divBdr>
          <w:divsChild>
            <w:div w:id="525408186">
              <w:marLeft w:val="0"/>
              <w:marRight w:val="0"/>
              <w:marTop w:val="0"/>
              <w:marBottom w:val="0"/>
              <w:divBdr>
                <w:top w:val="none" w:sz="0" w:space="0" w:color="auto"/>
                <w:left w:val="none" w:sz="0" w:space="0" w:color="auto"/>
                <w:bottom w:val="none" w:sz="0" w:space="0" w:color="auto"/>
                <w:right w:val="none" w:sz="0" w:space="0" w:color="auto"/>
              </w:divBdr>
              <w:divsChild>
                <w:div w:id="1409959571">
                  <w:marLeft w:val="0"/>
                  <w:marRight w:val="0"/>
                  <w:marTop w:val="0"/>
                  <w:marBottom w:val="0"/>
                  <w:divBdr>
                    <w:top w:val="none" w:sz="0" w:space="0" w:color="auto"/>
                    <w:left w:val="none" w:sz="0" w:space="0" w:color="auto"/>
                    <w:bottom w:val="none" w:sz="0" w:space="0" w:color="auto"/>
                    <w:right w:val="none" w:sz="0" w:space="0" w:color="auto"/>
                  </w:divBdr>
                  <w:divsChild>
                    <w:div w:id="16419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90018">
      <w:bodyDiv w:val="1"/>
      <w:marLeft w:val="0"/>
      <w:marRight w:val="0"/>
      <w:marTop w:val="0"/>
      <w:marBottom w:val="0"/>
      <w:divBdr>
        <w:top w:val="none" w:sz="0" w:space="0" w:color="auto"/>
        <w:left w:val="none" w:sz="0" w:space="0" w:color="auto"/>
        <w:bottom w:val="none" w:sz="0" w:space="0" w:color="auto"/>
        <w:right w:val="none" w:sz="0" w:space="0" w:color="auto"/>
      </w:divBdr>
      <w:divsChild>
        <w:div w:id="1652904920">
          <w:marLeft w:val="0"/>
          <w:marRight w:val="0"/>
          <w:marTop w:val="0"/>
          <w:marBottom w:val="0"/>
          <w:divBdr>
            <w:top w:val="none" w:sz="0" w:space="0" w:color="auto"/>
            <w:left w:val="none" w:sz="0" w:space="0" w:color="auto"/>
            <w:bottom w:val="none" w:sz="0" w:space="0" w:color="auto"/>
            <w:right w:val="none" w:sz="0" w:space="0" w:color="auto"/>
          </w:divBdr>
          <w:divsChild>
            <w:div w:id="943152144">
              <w:marLeft w:val="0"/>
              <w:marRight w:val="0"/>
              <w:marTop w:val="0"/>
              <w:marBottom w:val="0"/>
              <w:divBdr>
                <w:top w:val="none" w:sz="0" w:space="0" w:color="auto"/>
                <w:left w:val="none" w:sz="0" w:space="0" w:color="auto"/>
                <w:bottom w:val="none" w:sz="0" w:space="0" w:color="auto"/>
                <w:right w:val="none" w:sz="0" w:space="0" w:color="auto"/>
              </w:divBdr>
              <w:divsChild>
                <w:div w:id="1600604316">
                  <w:marLeft w:val="0"/>
                  <w:marRight w:val="0"/>
                  <w:marTop w:val="0"/>
                  <w:marBottom w:val="0"/>
                  <w:divBdr>
                    <w:top w:val="none" w:sz="0" w:space="0" w:color="auto"/>
                    <w:left w:val="none" w:sz="0" w:space="0" w:color="auto"/>
                    <w:bottom w:val="none" w:sz="0" w:space="0" w:color="auto"/>
                    <w:right w:val="none" w:sz="0" w:space="0" w:color="auto"/>
                  </w:divBdr>
                  <w:divsChild>
                    <w:div w:id="1765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2845">
          <w:marLeft w:val="0"/>
          <w:marRight w:val="0"/>
          <w:marTop w:val="0"/>
          <w:marBottom w:val="0"/>
          <w:divBdr>
            <w:top w:val="none" w:sz="0" w:space="0" w:color="auto"/>
            <w:left w:val="none" w:sz="0" w:space="0" w:color="auto"/>
            <w:bottom w:val="none" w:sz="0" w:space="0" w:color="auto"/>
            <w:right w:val="none" w:sz="0" w:space="0" w:color="auto"/>
          </w:divBdr>
          <w:divsChild>
            <w:div w:id="896863652">
              <w:marLeft w:val="0"/>
              <w:marRight w:val="0"/>
              <w:marTop w:val="0"/>
              <w:marBottom w:val="0"/>
              <w:divBdr>
                <w:top w:val="none" w:sz="0" w:space="0" w:color="auto"/>
                <w:left w:val="none" w:sz="0" w:space="0" w:color="auto"/>
                <w:bottom w:val="none" w:sz="0" w:space="0" w:color="auto"/>
                <w:right w:val="none" w:sz="0" w:space="0" w:color="auto"/>
              </w:divBdr>
              <w:divsChild>
                <w:div w:id="1950114240">
                  <w:marLeft w:val="0"/>
                  <w:marRight w:val="0"/>
                  <w:marTop w:val="0"/>
                  <w:marBottom w:val="0"/>
                  <w:divBdr>
                    <w:top w:val="none" w:sz="0" w:space="0" w:color="auto"/>
                    <w:left w:val="none" w:sz="0" w:space="0" w:color="auto"/>
                    <w:bottom w:val="none" w:sz="0" w:space="0" w:color="auto"/>
                    <w:right w:val="none" w:sz="0" w:space="0" w:color="auto"/>
                  </w:divBdr>
                  <w:divsChild>
                    <w:div w:id="701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14C50F-B298-4435-8CCC-009E38C42DB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TotalTime>
  <Pages>4</Pages>
  <Words>637</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1. Present Value (PV) of Cash Inflows</vt:lpstr>
      <vt:lpstr>        Total Present Value of Cash Inflows:</vt:lpstr>
      <vt:lpstr>        2. Net Present Value (NPV)</vt:lpstr>
      <vt:lpstr>        3. Profitability Index (PI)</vt:lpstr>
      <vt:lpstr>        Final Answer Summary:</vt:lpstr>
      <vt:lpstr>        Step 1: Calculate Present Value of Cash Inflows</vt:lpstr>
      <vt:lpstr>        1. Present Value of Cash Inflows</vt:lpstr>
      <vt:lpstr>        2. Net Present Value (NPV)</vt:lpstr>
      <vt:lpstr>        Ranking by NPV:</vt:lpstr>
      <vt:lpstr>        3. Profitability Index (PI)</vt:lpstr>
      <vt:lpstr>        Ranking by PI:</vt:lpstr>
      <vt:lpstr>        4. Final Ranking Summary:</vt:lpstr>
    </vt:vector>
  </TitlesOfParts>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2025-02-27T15:05:00Z</dcterms:created>
  <dcterms:modified xsi:type="dcterms:W3CDTF">2025-03-03T18:56:00Z</dcterms:modified>
</cp:coreProperties>
</file>