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2D4" w:rsidRPr="009860C2" w:rsidRDefault="000372D4" w:rsidP="009860C2">
      <w:pPr>
        <w:spacing w:line="360" w:lineRule="auto"/>
        <w:jc w:val="center"/>
        <w:rPr>
          <w:rFonts w:ascii="Times New Roman" w:hAnsi="Times New Roman"/>
          <w:b/>
          <w:sz w:val="24"/>
          <w:szCs w:val="24"/>
        </w:rPr>
      </w:pPr>
      <w:r w:rsidRPr="009860C2">
        <w:rPr>
          <w:rFonts w:ascii="Times New Roman" w:hAnsi="Times New Roman"/>
          <w:b/>
          <w:sz w:val="24"/>
          <w:szCs w:val="24"/>
        </w:rPr>
        <w:t>Alternative Investment -II</w:t>
      </w:r>
    </w:p>
    <w:p w:rsidR="000372D4" w:rsidRPr="009860C2" w:rsidRDefault="000372D4" w:rsidP="009860C2">
      <w:pPr>
        <w:spacing w:line="360" w:lineRule="auto"/>
        <w:jc w:val="center"/>
        <w:rPr>
          <w:rFonts w:ascii="Times New Roman" w:hAnsi="Times New Roman"/>
          <w:b/>
          <w:sz w:val="24"/>
          <w:szCs w:val="24"/>
        </w:rPr>
      </w:pPr>
      <w:r w:rsidRPr="009860C2">
        <w:rPr>
          <w:rFonts w:ascii="Times New Roman" w:hAnsi="Times New Roman"/>
          <w:b/>
          <w:sz w:val="24"/>
          <w:szCs w:val="24"/>
        </w:rPr>
        <w:t>September 2024 Examination</w:t>
      </w:r>
    </w:p>
    <w:p w:rsidR="000372D4" w:rsidRPr="009860C2" w:rsidRDefault="000372D4" w:rsidP="009860C2">
      <w:pPr>
        <w:spacing w:line="360" w:lineRule="auto"/>
        <w:jc w:val="both"/>
        <w:rPr>
          <w:rFonts w:ascii="Times New Roman" w:hAnsi="Times New Roman"/>
          <w:b/>
          <w:sz w:val="24"/>
          <w:szCs w:val="24"/>
        </w:rPr>
      </w:pPr>
    </w:p>
    <w:p w:rsidR="000372D4" w:rsidRPr="009860C2" w:rsidRDefault="000372D4" w:rsidP="009860C2">
      <w:pPr>
        <w:spacing w:line="360" w:lineRule="auto"/>
        <w:jc w:val="both"/>
        <w:rPr>
          <w:rFonts w:ascii="Times New Roman" w:hAnsi="Times New Roman"/>
          <w:b/>
          <w:sz w:val="24"/>
          <w:szCs w:val="24"/>
        </w:rPr>
      </w:pP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Q1. Sarah, an investor, is evaluating the valuation of an apartment building on behalf of her company, Real Estate Investments Inc. She is tasked with conducting a thorough valuation of an apartment building using a capitalization rate of 12% via the Net Operating Income (NOI) methodology. Delving into the specifics, the apartment building comprises a total of 70 units, with</w:t>
      </w:r>
      <w:r w:rsidR="009860C2" w:rsidRPr="009860C2">
        <w:rPr>
          <w:rFonts w:ascii="Times New Roman" w:hAnsi="Times New Roman"/>
          <w:b/>
          <w:sz w:val="24"/>
          <w:szCs w:val="24"/>
        </w:rPr>
        <w:t xml:space="preserve"> </w:t>
      </w:r>
      <w:r w:rsidRPr="009860C2">
        <w:rPr>
          <w:rFonts w:ascii="Times New Roman" w:hAnsi="Times New Roman"/>
          <w:b/>
          <w:sz w:val="24"/>
          <w:szCs w:val="24"/>
        </w:rPr>
        <w:t>50 units currently leased at a monthly rate of $1,200 each. Additionally, each leased unit generates an additional annual income of $800. Operating expenses, which amount to 30% of the effective gross income, and a property management fee of 10% of the effective gross income, are crucial factors. Furthermore, the property bears a significant interest expense of $500,000.</w:t>
      </w:r>
      <w:r w:rsidR="009860C2" w:rsidRPr="009860C2">
        <w:rPr>
          <w:rFonts w:ascii="Times New Roman" w:hAnsi="Times New Roman"/>
          <w:b/>
          <w:sz w:val="24"/>
          <w:szCs w:val="24"/>
        </w:rPr>
        <w:t xml:space="preserve"> </w:t>
      </w:r>
      <w:r w:rsidRPr="009860C2">
        <w:rPr>
          <w:rFonts w:ascii="Times New Roman" w:hAnsi="Times New Roman"/>
          <w:b/>
          <w:sz w:val="24"/>
          <w:szCs w:val="24"/>
        </w:rPr>
        <w:t>Moreover, a significant income tax rate of 40% applies to the property's financials. Sarah, as the investor, will utilize these details to compute the property's value utilizing the NOI approach with the provided capitalization rate on behalf of Real Estate Investments Inc. (10 Marks)</w:t>
      </w:r>
    </w:p>
    <w:p w:rsidR="009860C2" w:rsidRPr="009860C2" w:rsidRDefault="009860C2" w:rsidP="009860C2">
      <w:pPr>
        <w:spacing w:line="360" w:lineRule="auto"/>
        <w:jc w:val="both"/>
        <w:rPr>
          <w:rFonts w:ascii="Times New Roman" w:hAnsi="Times New Roman"/>
          <w:b/>
          <w:sz w:val="24"/>
          <w:szCs w:val="24"/>
        </w:rPr>
      </w:pPr>
      <w:r w:rsidRPr="009860C2">
        <w:rPr>
          <w:rFonts w:ascii="Times New Roman" w:hAnsi="Times New Roman"/>
          <w:b/>
          <w:sz w:val="24"/>
          <w:szCs w:val="24"/>
        </w:rPr>
        <w:t>Ans 1.</w:t>
      </w:r>
    </w:p>
    <w:p w:rsidR="009860C2" w:rsidRPr="009860C2" w:rsidRDefault="009860C2" w:rsidP="009860C2">
      <w:pPr>
        <w:spacing w:line="360" w:lineRule="auto"/>
        <w:jc w:val="both"/>
        <w:rPr>
          <w:rFonts w:ascii="Times New Roman" w:hAnsi="Times New Roman"/>
          <w:b/>
          <w:bCs/>
          <w:sz w:val="24"/>
          <w:szCs w:val="24"/>
        </w:rPr>
      </w:pPr>
      <w:r w:rsidRPr="009860C2">
        <w:rPr>
          <w:rFonts w:ascii="Times New Roman" w:hAnsi="Times New Roman"/>
          <w:b/>
          <w:bCs/>
          <w:sz w:val="24"/>
          <w:szCs w:val="24"/>
        </w:rPr>
        <w:t>Introduction</w:t>
      </w:r>
    </w:p>
    <w:p w:rsidR="009860C2" w:rsidRPr="009860C2" w:rsidRDefault="009860C2" w:rsidP="009860C2">
      <w:pPr>
        <w:spacing w:line="360" w:lineRule="auto"/>
        <w:jc w:val="both"/>
        <w:rPr>
          <w:rFonts w:ascii="Times New Roman" w:hAnsi="Times New Roman"/>
          <w:sz w:val="24"/>
          <w:szCs w:val="24"/>
        </w:rPr>
      </w:pPr>
      <w:r w:rsidRPr="009860C2">
        <w:rPr>
          <w:rFonts w:ascii="Times New Roman" w:hAnsi="Times New Roman"/>
          <w:sz w:val="24"/>
          <w:szCs w:val="24"/>
        </w:rPr>
        <w:t>Valuing real estate assets, particularly income-generating properties like apartment buildings, is crucial for making informed investment decisions. One widely recognized method for such valuations is the Net Operating Income (NOI) approach, which is pivotal in determining the property's worth based on its ability to generate income. In the context of Sarah's assignment at Real Estate Investments Inc., she is tasked with evaluating an apartment building's value using a capitalization rate of 12%. The building in question houses 70 units, with 50 currently leased, generating both rental and additional income.</w:t>
      </w:r>
    </w:p>
    <w:p w:rsidR="000372D4" w:rsidRDefault="009860C2" w:rsidP="00565EA5">
      <w:pPr>
        <w:spacing w:line="360" w:lineRule="auto"/>
        <w:jc w:val="both"/>
        <w:rPr>
          <w:rFonts w:ascii="Times New Roman" w:hAnsi="Times New Roman"/>
          <w:sz w:val="24"/>
          <w:szCs w:val="24"/>
        </w:rPr>
      </w:pPr>
      <w:r w:rsidRPr="009860C2">
        <w:rPr>
          <w:rFonts w:ascii="Times New Roman" w:hAnsi="Times New Roman"/>
          <w:sz w:val="24"/>
          <w:szCs w:val="24"/>
        </w:rPr>
        <w:t xml:space="preserve">Understanding the nuances of </w:t>
      </w:r>
    </w:p>
    <w:p w:rsidR="00565EA5" w:rsidRDefault="00565EA5" w:rsidP="00565EA5">
      <w:pPr>
        <w:spacing w:line="360" w:lineRule="auto"/>
        <w:jc w:val="both"/>
        <w:rPr>
          <w:rFonts w:ascii="Times New Roman" w:hAnsi="Times New Roman"/>
          <w:sz w:val="24"/>
          <w:szCs w:val="24"/>
        </w:rPr>
      </w:pPr>
    </w:p>
    <w:p w:rsidR="00565EA5" w:rsidRDefault="00565EA5" w:rsidP="00565EA5">
      <w:pPr>
        <w:shd w:val="clear" w:color="auto" w:fill="FFFFFF"/>
        <w:spacing w:after="240"/>
        <w:jc w:val="center"/>
        <w:rPr>
          <w:sz w:val="27"/>
          <w:szCs w:val="27"/>
        </w:rPr>
      </w:pPr>
      <w:r>
        <w:rPr>
          <w:rFonts w:ascii="Georgia" w:hAnsi="Georgia"/>
          <w:sz w:val="33"/>
          <w:szCs w:val="33"/>
          <w:highlight w:val="red"/>
          <w:shd w:val="clear" w:color="auto" w:fill="FFFF00"/>
        </w:rPr>
        <w:lastRenderedPageBreak/>
        <w:t>It is only half solved</w:t>
      </w:r>
    </w:p>
    <w:p w:rsidR="00565EA5" w:rsidRDefault="00565EA5" w:rsidP="00565EA5">
      <w:pPr>
        <w:shd w:val="clear" w:color="auto" w:fill="FFFFFF"/>
        <w:spacing w:after="0" w:line="360" w:lineRule="auto"/>
        <w:jc w:val="center"/>
        <w:rPr>
          <w:rFonts w:ascii="Georgia" w:hAnsi="Georgia" w:cs="Calibri"/>
          <w:color w:val="222222"/>
          <w:sz w:val="33"/>
          <w:szCs w:val="33"/>
          <w:shd w:val="clear" w:color="auto" w:fill="FFFF00"/>
        </w:rPr>
      </w:pPr>
    </w:p>
    <w:p w:rsidR="00565EA5" w:rsidRDefault="00565EA5" w:rsidP="00565EA5">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565EA5" w:rsidRDefault="00565EA5" w:rsidP="00565EA5">
      <w:pPr>
        <w:shd w:val="clear" w:color="auto" w:fill="FFFFFF"/>
        <w:spacing w:after="0" w:line="360" w:lineRule="auto"/>
        <w:jc w:val="center"/>
        <w:rPr>
          <w:rFonts w:ascii="Aptos" w:hAnsi="Aptos" w:cs="Calibri"/>
          <w:color w:val="222222"/>
          <w:sz w:val="24"/>
          <w:szCs w:val="24"/>
        </w:rPr>
      </w:pPr>
    </w:p>
    <w:p w:rsidR="00565EA5" w:rsidRDefault="00565EA5" w:rsidP="00565EA5">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565EA5" w:rsidRDefault="00565EA5" w:rsidP="00565EA5">
      <w:pPr>
        <w:shd w:val="clear" w:color="auto" w:fill="FFFFFF"/>
        <w:spacing w:after="0" w:line="360" w:lineRule="auto"/>
        <w:jc w:val="center"/>
        <w:rPr>
          <w:rFonts w:cs="Calibri"/>
          <w:color w:val="222222"/>
        </w:rPr>
      </w:pPr>
    </w:p>
    <w:p w:rsidR="00565EA5" w:rsidRDefault="00565EA5" w:rsidP="00565EA5">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565EA5" w:rsidRDefault="00565EA5" w:rsidP="00565EA5">
      <w:pPr>
        <w:shd w:val="clear" w:color="auto" w:fill="FFFFFF"/>
        <w:spacing w:after="0" w:line="360" w:lineRule="auto"/>
        <w:jc w:val="center"/>
        <w:rPr>
          <w:rFonts w:ascii="Arial" w:hAnsi="Arial" w:cs="Calibri"/>
          <w:color w:val="222222"/>
        </w:rPr>
      </w:pPr>
    </w:p>
    <w:p w:rsidR="00565EA5" w:rsidRDefault="00565EA5" w:rsidP="00565EA5">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565EA5" w:rsidRDefault="00565EA5" w:rsidP="00565EA5">
      <w:pPr>
        <w:shd w:val="clear" w:color="auto" w:fill="FFFFFF"/>
        <w:spacing w:after="0" w:line="360" w:lineRule="auto"/>
        <w:jc w:val="center"/>
        <w:rPr>
          <w:rFonts w:ascii="Georgia" w:hAnsi="Georgia" w:cs="Calibri"/>
          <w:color w:val="500050"/>
          <w:sz w:val="33"/>
          <w:szCs w:val="33"/>
        </w:rPr>
      </w:pPr>
    </w:p>
    <w:p w:rsidR="00565EA5" w:rsidRDefault="00565EA5" w:rsidP="00565EA5">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565EA5" w:rsidRDefault="00565EA5" w:rsidP="00565EA5">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565EA5" w:rsidRDefault="00565EA5" w:rsidP="00565EA5">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565EA5" w:rsidRDefault="00565EA5" w:rsidP="00565EA5">
      <w:pPr>
        <w:shd w:val="clear" w:color="auto" w:fill="FFFFFF"/>
        <w:spacing w:after="0" w:line="360" w:lineRule="auto"/>
        <w:jc w:val="center"/>
        <w:rPr>
          <w:rFonts w:ascii="Aptos" w:hAnsi="Aptos" w:cs="Calibri"/>
          <w:color w:val="500050"/>
        </w:rPr>
      </w:pPr>
    </w:p>
    <w:p w:rsidR="00565EA5" w:rsidRDefault="00565EA5" w:rsidP="00565EA5">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565EA5" w:rsidRDefault="00565EA5" w:rsidP="00565EA5">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565EA5" w:rsidRDefault="00565EA5" w:rsidP="00565EA5">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565EA5" w:rsidRDefault="00565EA5" w:rsidP="00565EA5">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565EA5" w:rsidRDefault="00565EA5" w:rsidP="00565EA5">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565EA5" w:rsidRDefault="00565EA5" w:rsidP="00565EA5">
      <w:pPr>
        <w:spacing w:line="360" w:lineRule="auto"/>
        <w:jc w:val="both"/>
        <w:rPr>
          <w:rFonts w:ascii="Times New Roman" w:hAnsi="Times New Roman"/>
          <w:sz w:val="24"/>
          <w:szCs w:val="24"/>
        </w:rPr>
      </w:pPr>
    </w:p>
    <w:p w:rsidR="00565EA5" w:rsidRDefault="00565EA5" w:rsidP="00565EA5">
      <w:pPr>
        <w:spacing w:line="360" w:lineRule="auto"/>
        <w:jc w:val="both"/>
        <w:rPr>
          <w:rFonts w:ascii="Times New Roman" w:hAnsi="Times New Roman"/>
          <w:sz w:val="24"/>
          <w:szCs w:val="24"/>
        </w:rPr>
      </w:pPr>
    </w:p>
    <w:p w:rsidR="00565EA5" w:rsidRDefault="00565EA5" w:rsidP="00565EA5">
      <w:pPr>
        <w:spacing w:line="360" w:lineRule="auto"/>
        <w:jc w:val="both"/>
        <w:rPr>
          <w:rFonts w:ascii="Times New Roman" w:hAnsi="Times New Roman"/>
          <w:sz w:val="24"/>
          <w:szCs w:val="24"/>
        </w:rPr>
      </w:pPr>
    </w:p>
    <w:p w:rsidR="009860C2" w:rsidRPr="009860C2" w:rsidRDefault="009860C2" w:rsidP="009860C2">
      <w:pPr>
        <w:spacing w:line="360" w:lineRule="auto"/>
        <w:jc w:val="both"/>
        <w:rPr>
          <w:rFonts w:ascii="Times New Roman" w:hAnsi="Times New Roman"/>
          <w:sz w:val="24"/>
          <w:szCs w:val="24"/>
        </w:rPr>
      </w:pP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Q2. Omega Capital, a well known PE fund house, runs a fund with a committed capital of $250 million, operates under the guidance of GP. The GP is ready to pay a 20% carried interest if the fund's Net Asset Value before distributions surpasses the committed capital. Omega Capital applies a management fee of 3% based on paid-in capital. Below is a table presenting the fund's</w:t>
      </w:r>
      <w:r w:rsidR="009860C2" w:rsidRPr="009860C2">
        <w:rPr>
          <w:rFonts w:ascii="Times New Roman" w:hAnsi="Times New Roman"/>
          <w:b/>
          <w:sz w:val="24"/>
          <w:szCs w:val="24"/>
        </w:rPr>
        <w:t xml:space="preserve"> </w:t>
      </w:r>
      <w:r w:rsidRPr="009860C2">
        <w:rPr>
          <w:rFonts w:ascii="Times New Roman" w:hAnsi="Times New Roman"/>
          <w:b/>
          <w:sz w:val="24"/>
          <w:szCs w:val="24"/>
        </w:rPr>
        <w:t>capital calls and performance over the first 7 years of its existence.</w:t>
      </w:r>
    </w:p>
    <w:tbl>
      <w:tblPr>
        <w:tblW w:w="5000" w:type="pct"/>
        <w:tblCellMar>
          <w:left w:w="0" w:type="dxa"/>
          <w:right w:w="0" w:type="dxa"/>
        </w:tblCellMar>
        <w:tblLook w:val="0000" w:firstRow="0" w:lastRow="0" w:firstColumn="0" w:lastColumn="0" w:noHBand="0" w:noVBand="0"/>
      </w:tblPr>
      <w:tblGrid>
        <w:gridCol w:w="1283"/>
        <w:gridCol w:w="3012"/>
        <w:gridCol w:w="2318"/>
        <w:gridCol w:w="2757"/>
      </w:tblGrid>
      <w:tr w:rsidR="000372D4" w:rsidRPr="009860C2" w:rsidTr="009860C2">
        <w:tblPrEx>
          <w:tblCellMar>
            <w:top w:w="0" w:type="dxa"/>
            <w:left w:w="0" w:type="dxa"/>
            <w:bottom w:w="0" w:type="dxa"/>
            <w:right w:w="0" w:type="dxa"/>
          </w:tblCellMar>
        </w:tblPrEx>
        <w:trPr>
          <w:trHeight w:hRule="exact" w:val="590"/>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p>
          <w:p w:rsidR="000372D4" w:rsidRPr="009860C2" w:rsidRDefault="000372D4" w:rsidP="009860C2">
            <w:pPr>
              <w:spacing w:line="360" w:lineRule="auto"/>
              <w:jc w:val="both"/>
              <w:rPr>
                <w:rFonts w:ascii="Times New Roman" w:hAnsi="Times New Roman"/>
                <w:b/>
                <w:sz w:val="24"/>
                <w:szCs w:val="24"/>
              </w:rPr>
            </w:pP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Year</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Capital        Called</w:t>
            </w: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Down ($M)</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Operating</w:t>
            </w: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Results ($M)</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p>
          <w:p w:rsidR="000372D4" w:rsidRPr="009860C2" w:rsidRDefault="000372D4" w:rsidP="009860C2">
            <w:pPr>
              <w:spacing w:line="360" w:lineRule="auto"/>
              <w:jc w:val="both"/>
              <w:rPr>
                <w:rFonts w:ascii="Times New Roman" w:hAnsi="Times New Roman"/>
                <w:b/>
                <w:sz w:val="24"/>
                <w:szCs w:val="24"/>
              </w:rPr>
            </w:pP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Distribution($M)</w:t>
            </w:r>
          </w:p>
        </w:tc>
      </w:tr>
      <w:tr w:rsidR="000372D4" w:rsidRPr="009860C2" w:rsidTr="009860C2">
        <w:tblPrEx>
          <w:tblCellMar>
            <w:top w:w="0" w:type="dxa"/>
            <w:left w:w="0" w:type="dxa"/>
            <w:bottom w:w="0" w:type="dxa"/>
            <w:right w:w="0" w:type="dxa"/>
          </w:tblCellMar>
        </w:tblPrEx>
        <w:trPr>
          <w:trHeight w:hRule="exact" w:val="300"/>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1</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70</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-30</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p>
        </w:tc>
      </w:tr>
      <w:tr w:rsidR="000372D4" w:rsidRPr="009860C2" w:rsidTr="009860C2">
        <w:tblPrEx>
          <w:tblCellMar>
            <w:top w:w="0" w:type="dxa"/>
            <w:left w:w="0" w:type="dxa"/>
            <w:bottom w:w="0" w:type="dxa"/>
            <w:right w:w="0" w:type="dxa"/>
          </w:tblCellMar>
        </w:tblPrEx>
        <w:trPr>
          <w:trHeight w:hRule="exact" w:val="300"/>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2</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50</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-12</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p>
        </w:tc>
      </w:tr>
      <w:tr w:rsidR="000372D4" w:rsidRPr="009860C2" w:rsidTr="009860C2">
        <w:tblPrEx>
          <w:tblCellMar>
            <w:top w:w="0" w:type="dxa"/>
            <w:left w:w="0" w:type="dxa"/>
            <w:bottom w:w="0" w:type="dxa"/>
            <w:right w:w="0" w:type="dxa"/>
          </w:tblCellMar>
        </w:tblPrEx>
        <w:trPr>
          <w:trHeight w:hRule="exact" w:val="300"/>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3</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30</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5</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p>
        </w:tc>
      </w:tr>
      <w:tr w:rsidR="000372D4" w:rsidRPr="009860C2" w:rsidTr="009860C2">
        <w:tblPrEx>
          <w:tblCellMar>
            <w:top w:w="0" w:type="dxa"/>
            <w:left w:w="0" w:type="dxa"/>
            <w:bottom w:w="0" w:type="dxa"/>
            <w:right w:w="0" w:type="dxa"/>
          </w:tblCellMar>
        </w:tblPrEx>
        <w:trPr>
          <w:trHeight w:hRule="exact" w:val="301"/>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4</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20</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70</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p>
        </w:tc>
      </w:tr>
      <w:tr w:rsidR="000372D4" w:rsidRPr="009860C2" w:rsidTr="009860C2">
        <w:tblPrEx>
          <w:tblCellMar>
            <w:top w:w="0" w:type="dxa"/>
            <w:left w:w="0" w:type="dxa"/>
            <w:bottom w:w="0" w:type="dxa"/>
            <w:right w:w="0" w:type="dxa"/>
          </w:tblCellMar>
        </w:tblPrEx>
        <w:trPr>
          <w:trHeight w:hRule="exact" w:val="300"/>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5</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20</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80</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40</w:t>
            </w:r>
          </w:p>
        </w:tc>
      </w:tr>
      <w:tr w:rsidR="000372D4" w:rsidRPr="009860C2" w:rsidTr="009860C2">
        <w:tblPrEx>
          <w:tblCellMar>
            <w:top w:w="0" w:type="dxa"/>
            <w:left w:w="0" w:type="dxa"/>
            <w:bottom w:w="0" w:type="dxa"/>
            <w:right w:w="0" w:type="dxa"/>
          </w:tblCellMar>
        </w:tblPrEx>
        <w:trPr>
          <w:trHeight w:hRule="exact" w:val="300"/>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6</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10</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100</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80</w:t>
            </w:r>
          </w:p>
        </w:tc>
      </w:tr>
      <w:tr w:rsidR="000372D4" w:rsidRPr="009860C2" w:rsidTr="009860C2">
        <w:tblPrEx>
          <w:tblCellMar>
            <w:top w:w="0" w:type="dxa"/>
            <w:left w:w="0" w:type="dxa"/>
            <w:bottom w:w="0" w:type="dxa"/>
            <w:right w:w="0" w:type="dxa"/>
          </w:tblCellMar>
        </w:tblPrEx>
        <w:trPr>
          <w:trHeight w:hRule="exact" w:val="300"/>
        </w:trPr>
        <w:tc>
          <w:tcPr>
            <w:tcW w:w="685"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7</w:t>
            </w:r>
          </w:p>
        </w:tc>
        <w:tc>
          <w:tcPr>
            <w:tcW w:w="160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10</w:t>
            </w:r>
          </w:p>
        </w:tc>
        <w:tc>
          <w:tcPr>
            <w:tcW w:w="1237"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155</w:t>
            </w:r>
          </w:p>
        </w:tc>
        <w:tc>
          <w:tcPr>
            <w:tcW w:w="1471" w:type="pct"/>
            <w:tcBorders>
              <w:top w:val="single" w:sz="4" w:space="0" w:color="000000"/>
              <w:left w:val="single" w:sz="4" w:space="0" w:color="000000"/>
              <w:bottom w:val="single" w:sz="4" w:space="0" w:color="000000"/>
              <w:right w:val="single" w:sz="4" w:space="0" w:color="000000"/>
            </w:tcBorders>
          </w:tcPr>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120</w:t>
            </w:r>
          </w:p>
        </w:tc>
      </w:tr>
    </w:tbl>
    <w:p w:rsidR="009860C2" w:rsidRPr="009860C2" w:rsidRDefault="009860C2" w:rsidP="009860C2">
      <w:pPr>
        <w:spacing w:line="360" w:lineRule="auto"/>
        <w:jc w:val="both"/>
        <w:rPr>
          <w:rFonts w:ascii="Times New Roman" w:hAnsi="Times New Roman"/>
          <w:b/>
          <w:sz w:val="24"/>
          <w:szCs w:val="24"/>
        </w:rPr>
      </w:pP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You are supposed to find paid-in capital, management fees, NAV before distributions, carried interest, and NAV after distributions for each of the 7 years.   (10 Marks)</w:t>
      </w:r>
    </w:p>
    <w:p w:rsidR="009860C2" w:rsidRPr="009860C2" w:rsidRDefault="009860C2" w:rsidP="009860C2">
      <w:pPr>
        <w:spacing w:line="360" w:lineRule="auto"/>
        <w:jc w:val="both"/>
        <w:rPr>
          <w:rFonts w:ascii="Times New Roman" w:hAnsi="Times New Roman"/>
          <w:b/>
          <w:sz w:val="24"/>
          <w:szCs w:val="24"/>
        </w:rPr>
      </w:pPr>
      <w:r w:rsidRPr="009860C2">
        <w:rPr>
          <w:rFonts w:ascii="Times New Roman" w:hAnsi="Times New Roman"/>
          <w:b/>
          <w:sz w:val="24"/>
          <w:szCs w:val="24"/>
        </w:rPr>
        <w:t>Ans 2.</w:t>
      </w:r>
    </w:p>
    <w:p w:rsidR="009860C2" w:rsidRPr="009860C2" w:rsidRDefault="009860C2" w:rsidP="009860C2">
      <w:pPr>
        <w:spacing w:line="360" w:lineRule="auto"/>
        <w:jc w:val="both"/>
        <w:rPr>
          <w:rFonts w:ascii="Times New Roman" w:hAnsi="Times New Roman"/>
          <w:b/>
          <w:bCs/>
          <w:sz w:val="24"/>
          <w:szCs w:val="24"/>
        </w:rPr>
      </w:pPr>
      <w:r w:rsidRPr="009860C2">
        <w:rPr>
          <w:rFonts w:ascii="Times New Roman" w:hAnsi="Times New Roman"/>
          <w:b/>
          <w:bCs/>
          <w:sz w:val="24"/>
          <w:szCs w:val="24"/>
        </w:rPr>
        <w:t>Introduction</w:t>
      </w:r>
    </w:p>
    <w:p w:rsidR="009860C2" w:rsidRDefault="009860C2" w:rsidP="00EC4886">
      <w:pPr>
        <w:spacing w:line="360" w:lineRule="auto"/>
        <w:jc w:val="both"/>
        <w:rPr>
          <w:rFonts w:ascii="Times New Roman" w:hAnsi="Times New Roman"/>
          <w:sz w:val="24"/>
          <w:szCs w:val="24"/>
        </w:rPr>
      </w:pPr>
      <w:r w:rsidRPr="009860C2">
        <w:rPr>
          <w:rFonts w:ascii="Times New Roman" w:hAnsi="Times New Roman"/>
          <w:sz w:val="24"/>
          <w:szCs w:val="24"/>
        </w:rPr>
        <w:t xml:space="preserve">Private equity (PE) funds, like Omega Capital, are investment vehicles that pool capital from investors to acquire stakes in companies or projects, with the goal of generating significant returns. These funds are managed by General Partners (GPs), who are responsible for making investment decisions and managing the fund's operations. A critical aspect of PE fund management is the structure of fees and incentives, particularly the management fee and carried interest. Management fees are typically charged as a percentage of the capital committed by investors and are used to cover the operational expenses of the fund. Carried interest, on the other hand, is a share of the profits earned by the fund, which is paid to the GP if certain performance </w:t>
      </w:r>
    </w:p>
    <w:p w:rsidR="00EC4886" w:rsidRDefault="00EC4886" w:rsidP="00EC4886">
      <w:pPr>
        <w:spacing w:line="360" w:lineRule="auto"/>
        <w:jc w:val="both"/>
        <w:rPr>
          <w:rFonts w:ascii="Times New Roman" w:hAnsi="Times New Roman"/>
          <w:sz w:val="24"/>
          <w:szCs w:val="24"/>
        </w:rPr>
      </w:pP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Q3. The commodity and commodity derivatives instruments are used to diversify the portfolio risk and enhance the return for investors.</w:t>
      </w:r>
    </w:p>
    <w:p w:rsidR="000372D4" w:rsidRPr="009860C2" w:rsidRDefault="000372D4" w:rsidP="009860C2">
      <w:pPr>
        <w:spacing w:line="360" w:lineRule="auto"/>
        <w:jc w:val="both"/>
        <w:rPr>
          <w:rFonts w:ascii="Times New Roman" w:hAnsi="Times New Roman"/>
          <w:b/>
          <w:sz w:val="24"/>
          <w:szCs w:val="24"/>
        </w:rPr>
      </w:pPr>
      <w:r w:rsidRPr="009860C2">
        <w:rPr>
          <w:rFonts w:ascii="Times New Roman" w:hAnsi="Times New Roman"/>
          <w:b/>
          <w:sz w:val="24"/>
          <w:szCs w:val="24"/>
        </w:rPr>
        <w:t>a)  Explain the contrast between the valuation of commodities and that of equities and bonds.</w:t>
      </w:r>
      <w:r w:rsidR="009860C2" w:rsidRPr="009860C2">
        <w:rPr>
          <w:rFonts w:ascii="Times New Roman" w:hAnsi="Times New Roman"/>
          <w:b/>
          <w:sz w:val="24"/>
          <w:szCs w:val="24"/>
        </w:rPr>
        <w:t xml:space="preserve"> </w:t>
      </w:r>
      <w:r w:rsidRPr="009860C2">
        <w:rPr>
          <w:rFonts w:ascii="Times New Roman" w:hAnsi="Times New Roman"/>
          <w:b/>
          <w:sz w:val="24"/>
          <w:szCs w:val="24"/>
        </w:rPr>
        <w:t>(5 Marks)</w:t>
      </w:r>
    </w:p>
    <w:p w:rsidR="009860C2" w:rsidRPr="009860C2" w:rsidRDefault="009860C2" w:rsidP="009860C2">
      <w:pPr>
        <w:spacing w:line="360" w:lineRule="auto"/>
        <w:jc w:val="both"/>
        <w:rPr>
          <w:rFonts w:ascii="Times New Roman" w:hAnsi="Times New Roman"/>
          <w:b/>
          <w:sz w:val="24"/>
          <w:szCs w:val="24"/>
        </w:rPr>
      </w:pPr>
      <w:r w:rsidRPr="009860C2">
        <w:rPr>
          <w:rFonts w:ascii="Times New Roman" w:hAnsi="Times New Roman"/>
          <w:b/>
          <w:sz w:val="24"/>
          <w:szCs w:val="24"/>
        </w:rPr>
        <w:t>Ans 3a.</w:t>
      </w:r>
    </w:p>
    <w:p w:rsidR="009860C2" w:rsidRPr="009860C2" w:rsidRDefault="009860C2" w:rsidP="009860C2">
      <w:pPr>
        <w:spacing w:line="360" w:lineRule="auto"/>
        <w:jc w:val="both"/>
        <w:rPr>
          <w:rFonts w:ascii="Times New Roman" w:hAnsi="Times New Roman"/>
          <w:b/>
          <w:bCs/>
          <w:sz w:val="24"/>
          <w:szCs w:val="24"/>
        </w:rPr>
      </w:pPr>
      <w:r w:rsidRPr="009860C2">
        <w:rPr>
          <w:rFonts w:ascii="Times New Roman" w:hAnsi="Times New Roman"/>
          <w:b/>
          <w:bCs/>
          <w:sz w:val="24"/>
          <w:szCs w:val="24"/>
        </w:rPr>
        <w:t>Introduction</w:t>
      </w:r>
    </w:p>
    <w:p w:rsidR="000372D4" w:rsidRDefault="009860C2" w:rsidP="00EC4886">
      <w:pPr>
        <w:spacing w:line="360" w:lineRule="auto"/>
        <w:jc w:val="both"/>
        <w:rPr>
          <w:rFonts w:ascii="Times New Roman" w:hAnsi="Times New Roman"/>
          <w:sz w:val="24"/>
          <w:szCs w:val="24"/>
        </w:rPr>
      </w:pPr>
      <w:r w:rsidRPr="009860C2">
        <w:rPr>
          <w:rFonts w:ascii="Times New Roman" w:hAnsi="Times New Roman"/>
          <w:sz w:val="24"/>
          <w:szCs w:val="24"/>
        </w:rPr>
        <w:t xml:space="preserve">Commodities, as tangible assets like gold, oil, and agricultural products, play a vital role in diversifying investment portfolios and enhancing returns. Unlike equities and bonds, which represent ownership in companies or debt obligations, commodities have distinct valuation methods. The valuation of commodities involves factors such as supply and demand dynamics, geopolitical events, and market speculation. Understanding the contrast between the valuation of commodities and traditional financial instruments like equities and bonds is crucial for investors aiming to manage risk </w:t>
      </w:r>
    </w:p>
    <w:p w:rsidR="00EC4886" w:rsidRPr="00EC4886" w:rsidRDefault="00EC4886" w:rsidP="00EC4886">
      <w:pPr>
        <w:spacing w:line="360" w:lineRule="auto"/>
        <w:jc w:val="both"/>
        <w:rPr>
          <w:rFonts w:ascii="Times New Roman" w:hAnsi="Times New Roman"/>
          <w:b/>
          <w:sz w:val="24"/>
          <w:szCs w:val="24"/>
        </w:rPr>
      </w:pPr>
    </w:p>
    <w:p w:rsidR="000372D4" w:rsidRPr="00EC4886" w:rsidRDefault="000372D4" w:rsidP="009860C2">
      <w:pPr>
        <w:spacing w:line="360" w:lineRule="auto"/>
        <w:jc w:val="both"/>
        <w:rPr>
          <w:rFonts w:ascii="Times New Roman" w:hAnsi="Times New Roman"/>
          <w:b/>
          <w:sz w:val="24"/>
          <w:szCs w:val="24"/>
        </w:rPr>
      </w:pPr>
      <w:r w:rsidRPr="00EC4886">
        <w:rPr>
          <w:rFonts w:ascii="Times New Roman" w:hAnsi="Times New Roman"/>
          <w:b/>
          <w:sz w:val="24"/>
          <w:szCs w:val="24"/>
        </w:rPr>
        <w:t>b)  Explain how to mathematically value forward commodity derivatives using the Theory of</w:t>
      </w:r>
      <w:r w:rsidR="009860C2" w:rsidRPr="00EC4886">
        <w:rPr>
          <w:rFonts w:ascii="Times New Roman" w:hAnsi="Times New Roman"/>
          <w:b/>
          <w:sz w:val="24"/>
          <w:szCs w:val="24"/>
        </w:rPr>
        <w:t xml:space="preserve"> </w:t>
      </w:r>
      <w:r w:rsidRPr="00EC4886">
        <w:rPr>
          <w:rFonts w:ascii="Times New Roman" w:hAnsi="Times New Roman"/>
          <w:b/>
          <w:sz w:val="24"/>
          <w:szCs w:val="24"/>
        </w:rPr>
        <w:t>Storage in real-life situations?    (5 Marks)</w:t>
      </w:r>
    </w:p>
    <w:p w:rsidR="009860C2" w:rsidRPr="009860C2" w:rsidRDefault="009860C2" w:rsidP="009860C2">
      <w:pPr>
        <w:spacing w:line="360" w:lineRule="auto"/>
        <w:jc w:val="both"/>
        <w:rPr>
          <w:rFonts w:ascii="Times New Roman" w:hAnsi="Times New Roman"/>
          <w:b/>
          <w:bCs/>
          <w:sz w:val="24"/>
          <w:szCs w:val="24"/>
        </w:rPr>
      </w:pPr>
      <w:r w:rsidRPr="009860C2">
        <w:rPr>
          <w:rFonts w:ascii="Times New Roman" w:hAnsi="Times New Roman"/>
          <w:b/>
          <w:bCs/>
          <w:sz w:val="24"/>
          <w:szCs w:val="24"/>
        </w:rPr>
        <w:t>Introduction</w:t>
      </w:r>
    </w:p>
    <w:p w:rsidR="000372D4" w:rsidRPr="009860C2" w:rsidRDefault="009860C2" w:rsidP="00EC4886">
      <w:pPr>
        <w:spacing w:line="360" w:lineRule="auto"/>
        <w:jc w:val="both"/>
        <w:rPr>
          <w:rFonts w:ascii="Times New Roman" w:hAnsi="Times New Roman"/>
          <w:sz w:val="24"/>
          <w:szCs w:val="24"/>
        </w:rPr>
      </w:pPr>
      <w:r w:rsidRPr="009860C2">
        <w:rPr>
          <w:rFonts w:ascii="Times New Roman" w:hAnsi="Times New Roman"/>
          <w:sz w:val="24"/>
          <w:szCs w:val="24"/>
        </w:rPr>
        <w:t xml:space="preserve">The valuation of forward commodity derivatives is a crucial aspect of managing risks in commodity trading. The Theory of Storage, which links the spot price of a commodity to its forward price, plays a significant role in this valuation. This theory considers factors like storage costs, convenience yield, and interest rates. Understanding how to apply the Theory of Storage in real-life situations allows investors and traders to accurately price forward contracts and make informed decisions in the volatile </w:t>
      </w:r>
    </w:p>
    <w:p w:rsidR="000372D4" w:rsidRPr="009860C2" w:rsidRDefault="000372D4" w:rsidP="009860C2">
      <w:pPr>
        <w:spacing w:line="360" w:lineRule="auto"/>
        <w:jc w:val="both"/>
        <w:rPr>
          <w:rFonts w:ascii="Times New Roman" w:hAnsi="Times New Roman"/>
          <w:sz w:val="24"/>
          <w:szCs w:val="24"/>
        </w:rPr>
      </w:pPr>
    </w:p>
    <w:sectPr w:rsidR="000372D4" w:rsidRPr="009860C2" w:rsidSect="009860C2">
      <w:headerReference w:type="default" r:id="rId10"/>
      <w:footerReference w:type="default" r:id="rId11"/>
      <w:pgSz w:w="12240" w:h="15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2D4" w:rsidRDefault="000372D4">
      <w:pPr>
        <w:spacing w:after="0" w:line="240" w:lineRule="auto"/>
      </w:pPr>
      <w:r>
        <w:separator/>
      </w:r>
    </w:p>
  </w:endnote>
  <w:endnote w:type="continuationSeparator" w:id="0">
    <w:p w:rsidR="000372D4" w:rsidRDefault="0003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2D4" w:rsidRDefault="0060757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80.35pt;margin-top:730.4pt;width:51.4pt;height:13.05pt;z-index:-251655168;mso-position-horizontal-relative:page;mso-position-vertical-relative:page" o:allowincell="f" filled="f" stroked="f">
          <v:textbox inset="0,0,0,0">
            <w:txbxContent>
              <w:p w:rsidR="000372D4" w:rsidRPr="009860C2" w:rsidRDefault="000372D4" w:rsidP="009860C2"/>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2D4" w:rsidRDefault="000372D4">
      <w:pPr>
        <w:spacing w:after="0" w:line="240" w:lineRule="auto"/>
      </w:pPr>
      <w:r>
        <w:separator/>
      </w:r>
    </w:p>
  </w:footnote>
  <w:footnote w:type="continuationSeparator" w:id="0">
    <w:p w:rsidR="000372D4" w:rsidRDefault="00037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2D4" w:rsidRDefault="00607574">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0.2pt;margin-top:36pt;width:232pt;height:80pt;z-index:-251657216;mso-position-horizontal-relative:page;mso-position-vertical-relative:page" o:allowincell="f" filled="f" stroked="f">
          <v:textbox inset="0,0,0,0">
            <w:txbxContent>
              <w:p w:rsidR="000372D4" w:rsidRDefault="000372D4">
                <w:pPr>
                  <w:spacing w:after="0" w:line="1600" w:lineRule="atLeast"/>
                  <w:rPr>
                    <w:rFonts w:ascii="Times New Roman" w:hAnsi="Times New Roman"/>
                    <w:sz w:val="24"/>
                    <w:szCs w:val="24"/>
                  </w:rPr>
                </w:pPr>
              </w:p>
              <w:p w:rsidR="000372D4" w:rsidRDefault="000372D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CD4"/>
    <w:multiLevelType w:val="multilevel"/>
    <w:tmpl w:val="5B3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6E8C"/>
    <w:multiLevelType w:val="multilevel"/>
    <w:tmpl w:val="7F12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77ABB"/>
    <w:multiLevelType w:val="multilevel"/>
    <w:tmpl w:val="682C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F730D"/>
    <w:multiLevelType w:val="multilevel"/>
    <w:tmpl w:val="2496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24EBC"/>
    <w:multiLevelType w:val="multilevel"/>
    <w:tmpl w:val="9822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A54D4"/>
    <w:multiLevelType w:val="multilevel"/>
    <w:tmpl w:val="FFB8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D7A49"/>
    <w:multiLevelType w:val="multilevel"/>
    <w:tmpl w:val="4138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514A2"/>
    <w:multiLevelType w:val="multilevel"/>
    <w:tmpl w:val="7036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41F47"/>
    <w:multiLevelType w:val="multilevel"/>
    <w:tmpl w:val="2EBA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C686C"/>
    <w:multiLevelType w:val="multilevel"/>
    <w:tmpl w:val="6DD0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F77C75"/>
    <w:multiLevelType w:val="multilevel"/>
    <w:tmpl w:val="BFF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A15154"/>
    <w:multiLevelType w:val="multilevel"/>
    <w:tmpl w:val="9AA63E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9FA581F"/>
    <w:multiLevelType w:val="multilevel"/>
    <w:tmpl w:val="ACE6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A0B47"/>
    <w:multiLevelType w:val="multilevel"/>
    <w:tmpl w:val="A5A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D7876"/>
    <w:multiLevelType w:val="multilevel"/>
    <w:tmpl w:val="2D2E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7429A"/>
    <w:multiLevelType w:val="multilevel"/>
    <w:tmpl w:val="B7EA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2"/>
  </w:num>
  <w:num w:numId="4">
    <w:abstractNumId w:val="9"/>
  </w:num>
  <w:num w:numId="5">
    <w:abstractNumId w:val="4"/>
  </w:num>
  <w:num w:numId="6">
    <w:abstractNumId w:val="2"/>
  </w:num>
  <w:num w:numId="7">
    <w:abstractNumId w:val="8"/>
  </w:num>
  <w:num w:numId="8">
    <w:abstractNumId w:val="13"/>
  </w:num>
  <w:num w:numId="9">
    <w:abstractNumId w:val="5"/>
  </w:num>
  <w:num w:numId="10">
    <w:abstractNumId w:val="3"/>
  </w:num>
  <w:num w:numId="11">
    <w:abstractNumId w:val="10"/>
  </w:num>
  <w:num w:numId="12">
    <w:abstractNumId w:val="1"/>
  </w:num>
  <w:num w:numId="13">
    <w:abstractNumId w:val="7"/>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39DC"/>
    <w:rsid w:val="000372D4"/>
    <w:rsid w:val="000939DC"/>
    <w:rsid w:val="00565EA5"/>
    <w:rsid w:val="00607574"/>
    <w:rsid w:val="009860C2"/>
    <w:rsid w:val="00EC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A6517264-0B8E-4856-AA3F-6A7C4F53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60C2"/>
    <w:pPr>
      <w:tabs>
        <w:tab w:val="center" w:pos="4680"/>
        <w:tab w:val="right" w:pos="9360"/>
      </w:tabs>
    </w:pPr>
  </w:style>
  <w:style w:type="character" w:customStyle="1" w:styleId="HeaderChar">
    <w:name w:val="Header Char"/>
    <w:basedOn w:val="DefaultParagraphFont"/>
    <w:link w:val="Header"/>
    <w:uiPriority w:val="99"/>
    <w:semiHidden/>
    <w:locked/>
    <w:rsid w:val="009860C2"/>
    <w:rPr>
      <w:rFonts w:cs="Times New Roman"/>
    </w:rPr>
  </w:style>
  <w:style w:type="paragraph" w:styleId="Footer">
    <w:name w:val="footer"/>
    <w:basedOn w:val="Normal"/>
    <w:link w:val="FooterChar"/>
    <w:uiPriority w:val="99"/>
    <w:semiHidden/>
    <w:unhideWhenUsed/>
    <w:rsid w:val="009860C2"/>
    <w:pPr>
      <w:tabs>
        <w:tab w:val="center" w:pos="4680"/>
        <w:tab w:val="right" w:pos="9360"/>
      </w:tabs>
    </w:pPr>
  </w:style>
  <w:style w:type="character" w:customStyle="1" w:styleId="FooterChar">
    <w:name w:val="Footer Char"/>
    <w:basedOn w:val="DefaultParagraphFont"/>
    <w:link w:val="Footer"/>
    <w:uiPriority w:val="99"/>
    <w:semiHidden/>
    <w:locked/>
    <w:rsid w:val="009860C2"/>
    <w:rPr>
      <w:rFonts w:cs="Times New Roman"/>
    </w:rPr>
  </w:style>
  <w:style w:type="character" w:styleId="Hyperlink">
    <w:name w:val="Hyperlink"/>
    <w:basedOn w:val="DefaultParagraphFont"/>
    <w:uiPriority w:val="99"/>
    <w:semiHidden/>
    <w:unhideWhenUsed/>
    <w:rsid w:val="00565E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577771">
      <w:marLeft w:val="0"/>
      <w:marRight w:val="0"/>
      <w:marTop w:val="0"/>
      <w:marBottom w:val="0"/>
      <w:divBdr>
        <w:top w:val="none" w:sz="0" w:space="0" w:color="auto"/>
        <w:left w:val="none" w:sz="0" w:space="0" w:color="auto"/>
        <w:bottom w:val="none" w:sz="0" w:space="0" w:color="auto"/>
        <w:right w:val="none" w:sz="0" w:space="0" w:color="auto"/>
      </w:divBdr>
    </w:div>
    <w:div w:id="1211577785">
      <w:marLeft w:val="0"/>
      <w:marRight w:val="0"/>
      <w:marTop w:val="0"/>
      <w:marBottom w:val="0"/>
      <w:divBdr>
        <w:top w:val="none" w:sz="0" w:space="0" w:color="auto"/>
        <w:left w:val="none" w:sz="0" w:space="0" w:color="auto"/>
        <w:bottom w:val="none" w:sz="0" w:space="0" w:color="auto"/>
        <w:right w:val="none" w:sz="0" w:space="0" w:color="auto"/>
      </w:divBdr>
      <w:divsChild>
        <w:div w:id="1211577784">
          <w:marLeft w:val="0"/>
          <w:marRight w:val="0"/>
          <w:marTop w:val="0"/>
          <w:marBottom w:val="0"/>
          <w:divBdr>
            <w:top w:val="none" w:sz="0" w:space="0" w:color="auto"/>
            <w:left w:val="none" w:sz="0" w:space="0" w:color="auto"/>
            <w:bottom w:val="none" w:sz="0" w:space="0" w:color="auto"/>
            <w:right w:val="none" w:sz="0" w:space="0" w:color="auto"/>
          </w:divBdr>
          <w:divsChild>
            <w:div w:id="1211577775">
              <w:marLeft w:val="0"/>
              <w:marRight w:val="0"/>
              <w:marTop w:val="0"/>
              <w:marBottom w:val="0"/>
              <w:divBdr>
                <w:top w:val="none" w:sz="0" w:space="0" w:color="auto"/>
                <w:left w:val="none" w:sz="0" w:space="0" w:color="auto"/>
                <w:bottom w:val="none" w:sz="0" w:space="0" w:color="auto"/>
                <w:right w:val="none" w:sz="0" w:space="0" w:color="auto"/>
              </w:divBdr>
              <w:divsChild>
                <w:div w:id="1211577773">
                  <w:marLeft w:val="0"/>
                  <w:marRight w:val="0"/>
                  <w:marTop w:val="0"/>
                  <w:marBottom w:val="0"/>
                  <w:divBdr>
                    <w:top w:val="none" w:sz="0" w:space="0" w:color="auto"/>
                    <w:left w:val="none" w:sz="0" w:space="0" w:color="auto"/>
                    <w:bottom w:val="none" w:sz="0" w:space="0" w:color="auto"/>
                    <w:right w:val="none" w:sz="0" w:space="0" w:color="auto"/>
                  </w:divBdr>
                  <w:divsChild>
                    <w:div w:id="1211577809">
                      <w:marLeft w:val="0"/>
                      <w:marRight w:val="0"/>
                      <w:marTop w:val="0"/>
                      <w:marBottom w:val="0"/>
                      <w:divBdr>
                        <w:top w:val="none" w:sz="0" w:space="0" w:color="auto"/>
                        <w:left w:val="none" w:sz="0" w:space="0" w:color="auto"/>
                        <w:bottom w:val="none" w:sz="0" w:space="0" w:color="auto"/>
                        <w:right w:val="none" w:sz="0" w:space="0" w:color="auto"/>
                      </w:divBdr>
                      <w:divsChild>
                        <w:div w:id="1211577801">
                          <w:marLeft w:val="0"/>
                          <w:marRight w:val="0"/>
                          <w:marTop w:val="0"/>
                          <w:marBottom w:val="0"/>
                          <w:divBdr>
                            <w:top w:val="none" w:sz="0" w:space="0" w:color="auto"/>
                            <w:left w:val="none" w:sz="0" w:space="0" w:color="auto"/>
                            <w:bottom w:val="none" w:sz="0" w:space="0" w:color="auto"/>
                            <w:right w:val="none" w:sz="0" w:space="0" w:color="auto"/>
                          </w:divBdr>
                          <w:divsChild>
                            <w:div w:id="12115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7797">
                  <w:marLeft w:val="0"/>
                  <w:marRight w:val="0"/>
                  <w:marTop w:val="0"/>
                  <w:marBottom w:val="0"/>
                  <w:divBdr>
                    <w:top w:val="none" w:sz="0" w:space="0" w:color="auto"/>
                    <w:left w:val="none" w:sz="0" w:space="0" w:color="auto"/>
                    <w:bottom w:val="none" w:sz="0" w:space="0" w:color="auto"/>
                    <w:right w:val="none" w:sz="0" w:space="0" w:color="auto"/>
                  </w:divBdr>
                </w:div>
                <w:div w:id="1211577811">
                  <w:marLeft w:val="0"/>
                  <w:marRight w:val="0"/>
                  <w:marTop w:val="0"/>
                  <w:marBottom w:val="0"/>
                  <w:divBdr>
                    <w:top w:val="none" w:sz="0" w:space="0" w:color="auto"/>
                    <w:left w:val="none" w:sz="0" w:space="0" w:color="auto"/>
                    <w:bottom w:val="none" w:sz="0" w:space="0" w:color="auto"/>
                    <w:right w:val="none" w:sz="0" w:space="0" w:color="auto"/>
                  </w:divBdr>
                  <w:divsChild>
                    <w:div w:id="1211577794">
                      <w:marLeft w:val="0"/>
                      <w:marRight w:val="0"/>
                      <w:marTop w:val="0"/>
                      <w:marBottom w:val="0"/>
                      <w:divBdr>
                        <w:top w:val="none" w:sz="0" w:space="0" w:color="auto"/>
                        <w:left w:val="none" w:sz="0" w:space="0" w:color="auto"/>
                        <w:bottom w:val="none" w:sz="0" w:space="0" w:color="auto"/>
                        <w:right w:val="none" w:sz="0" w:space="0" w:color="auto"/>
                      </w:divBdr>
                      <w:divsChild>
                        <w:div w:id="1211577774">
                          <w:marLeft w:val="0"/>
                          <w:marRight w:val="0"/>
                          <w:marTop w:val="0"/>
                          <w:marBottom w:val="0"/>
                          <w:divBdr>
                            <w:top w:val="none" w:sz="0" w:space="0" w:color="auto"/>
                            <w:left w:val="none" w:sz="0" w:space="0" w:color="auto"/>
                            <w:bottom w:val="none" w:sz="0" w:space="0" w:color="auto"/>
                            <w:right w:val="none" w:sz="0" w:space="0" w:color="auto"/>
                          </w:divBdr>
                          <w:divsChild>
                            <w:div w:id="12115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7788">
      <w:marLeft w:val="0"/>
      <w:marRight w:val="0"/>
      <w:marTop w:val="0"/>
      <w:marBottom w:val="0"/>
      <w:divBdr>
        <w:top w:val="none" w:sz="0" w:space="0" w:color="auto"/>
        <w:left w:val="none" w:sz="0" w:space="0" w:color="auto"/>
        <w:bottom w:val="none" w:sz="0" w:space="0" w:color="auto"/>
        <w:right w:val="none" w:sz="0" w:space="0" w:color="auto"/>
      </w:divBdr>
    </w:div>
    <w:div w:id="1211577792">
      <w:marLeft w:val="0"/>
      <w:marRight w:val="0"/>
      <w:marTop w:val="0"/>
      <w:marBottom w:val="0"/>
      <w:divBdr>
        <w:top w:val="none" w:sz="0" w:space="0" w:color="auto"/>
        <w:left w:val="none" w:sz="0" w:space="0" w:color="auto"/>
        <w:bottom w:val="none" w:sz="0" w:space="0" w:color="auto"/>
        <w:right w:val="none" w:sz="0" w:space="0" w:color="auto"/>
      </w:divBdr>
      <w:divsChild>
        <w:div w:id="1211577816">
          <w:marLeft w:val="0"/>
          <w:marRight w:val="0"/>
          <w:marTop w:val="0"/>
          <w:marBottom w:val="0"/>
          <w:divBdr>
            <w:top w:val="none" w:sz="0" w:space="0" w:color="auto"/>
            <w:left w:val="none" w:sz="0" w:space="0" w:color="auto"/>
            <w:bottom w:val="none" w:sz="0" w:space="0" w:color="auto"/>
            <w:right w:val="none" w:sz="0" w:space="0" w:color="auto"/>
          </w:divBdr>
          <w:divsChild>
            <w:div w:id="1211577772">
              <w:marLeft w:val="0"/>
              <w:marRight w:val="0"/>
              <w:marTop w:val="0"/>
              <w:marBottom w:val="0"/>
              <w:divBdr>
                <w:top w:val="none" w:sz="0" w:space="0" w:color="auto"/>
                <w:left w:val="none" w:sz="0" w:space="0" w:color="auto"/>
                <w:bottom w:val="none" w:sz="0" w:space="0" w:color="auto"/>
                <w:right w:val="none" w:sz="0" w:space="0" w:color="auto"/>
              </w:divBdr>
              <w:divsChild>
                <w:div w:id="1211577782">
                  <w:marLeft w:val="0"/>
                  <w:marRight w:val="0"/>
                  <w:marTop w:val="0"/>
                  <w:marBottom w:val="0"/>
                  <w:divBdr>
                    <w:top w:val="none" w:sz="0" w:space="0" w:color="auto"/>
                    <w:left w:val="none" w:sz="0" w:space="0" w:color="auto"/>
                    <w:bottom w:val="none" w:sz="0" w:space="0" w:color="auto"/>
                    <w:right w:val="none" w:sz="0" w:space="0" w:color="auto"/>
                  </w:divBdr>
                </w:div>
                <w:div w:id="1211577783">
                  <w:marLeft w:val="0"/>
                  <w:marRight w:val="0"/>
                  <w:marTop w:val="0"/>
                  <w:marBottom w:val="0"/>
                  <w:divBdr>
                    <w:top w:val="none" w:sz="0" w:space="0" w:color="auto"/>
                    <w:left w:val="none" w:sz="0" w:space="0" w:color="auto"/>
                    <w:bottom w:val="none" w:sz="0" w:space="0" w:color="auto"/>
                    <w:right w:val="none" w:sz="0" w:space="0" w:color="auto"/>
                  </w:divBdr>
                  <w:divsChild>
                    <w:div w:id="1211577804">
                      <w:marLeft w:val="0"/>
                      <w:marRight w:val="0"/>
                      <w:marTop w:val="0"/>
                      <w:marBottom w:val="0"/>
                      <w:divBdr>
                        <w:top w:val="none" w:sz="0" w:space="0" w:color="auto"/>
                        <w:left w:val="none" w:sz="0" w:space="0" w:color="auto"/>
                        <w:bottom w:val="none" w:sz="0" w:space="0" w:color="auto"/>
                        <w:right w:val="none" w:sz="0" w:space="0" w:color="auto"/>
                      </w:divBdr>
                      <w:divsChild>
                        <w:div w:id="1211577787">
                          <w:marLeft w:val="0"/>
                          <w:marRight w:val="0"/>
                          <w:marTop w:val="0"/>
                          <w:marBottom w:val="0"/>
                          <w:divBdr>
                            <w:top w:val="none" w:sz="0" w:space="0" w:color="auto"/>
                            <w:left w:val="none" w:sz="0" w:space="0" w:color="auto"/>
                            <w:bottom w:val="none" w:sz="0" w:space="0" w:color="auto"/>
                            <w:right w:val="none" w:sz="0" w:space="0" w:color="auto"/>
                          </w:divBdr>
                          <w:divsChild>
                            <w:div w:id="12115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7806">
                  <w:marLeft w:val="0"/>
                  <w:marRight w:val="0"/>
                  <w:marTop w:val="0"/>
                  <w:marBottom w:val="0"/>
                  <w:divBdr>
                    <w:top w:val="none" w:sz="0" w:space="0" w:color="auto"/>
                    <w:left w:val="none" w:sz="0" w:space="0" w:color="auto"/>
                    <w:bottom w:val="none" w:sz="0" w:space="0" w:color="auto"/>
                    <w:right w:val="none" w:sz="0" w:space="0" w:color="auto"/>
                  </w:divBdr>
                  <w:divsChild>
                    <w:div w:id="1211577786">
                      <w:marLeft w:val="0"/>
                      <w:marRight w:val="0"/>
                      <w:marTop w:val="0"/>
                      <w:marBottom w:val="0"/>
                      <w:divBdr>
                        <w:top w:val="none" w:sz="0" w:space="0" w:color="auto"/>
                        <w:left w:val="none" w:sz="0" w:space="0" w:color="auto"/>
                        <w:bottom w:val="none" w:sz="0" w:space="0" w:color="auto"/>
                        <w:right w:val="none" w:sz="0" w:space="0" w:color="auto"/>
                      </w:divBdr>
                      <w:divsChild>
                        <w:div w:id="1211577813">
                          <w:marLeft w:val="0"/>
                          <w:marRight w:val="0"/>
                          <w:marTop w:val="0"/>
                          <w:marBottom w:val="0"/>
                          <w:divBdr>
                            <w:top w:val="none" w:sz="0" w:space="0" w:color="auto"/>
                            <w:left w:val="none" w:sz="0" w:space="0" w:color="auto"/>
                            <w:bottom w:val="none" w:sz="0" w:space="0" w:color="auto"/>
                            <w:right w:val="none" w:sz="0" w:space="0" w:color="auto"/>
                          </w:divBdr>
                          <w:divsChild>
                            <w:div w:id="12115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7796">
      <w:marLeft w:val="0"/>
      <w:marRight w:val="0"/>
      <w:marTop w:val="0"/>
      <w:marBottom w:val="0"/>
      <w:divBdr>
        <w:top w:val="none" w:sz="0" w:space="0" w:color="auto"/>
        <w:left w:val="none" w:sz="0" w:space="0" w:color="auto"/>
        <w:bottom w:val="none" w:sz="0" w:space="0" w:color="auto"/>
        <w:right w:val="none" w:sz="0" w:space="0" w:color="auto"/>
      </w:divBdr>
    </w:div>
    <w:div w:id="1211577798">
      <w:marLeft w:val="0"/>
      <w:marRight w:val="0"/>
      <w:marTop w:val="0"/>
      <w:marBottom w:val="0"/>
      <w:divBdr>
        <w:top w:val="none" w:sz="0" w:space="0" w:color="auto"/>
        <w:left w:val="none" w:sz="0" w:space="0" w:color="auto"/>
        <w:bottom w:val="none" w:sz="0" w:space="0" w:color="auto"/>
        <w:right w:val="none" w:sz="0" w:space="0" w:color="auto"/>
      </w:divBdr>
      <w:divsChild>
        <w:div w:id="1211577777">
          <w:marLeft w:val="0"/>
          <w:marRight w:val="0"/>
          <w:marTop w:val="0"/>
          <w:marBottom w:val="0"/>
          <w:divBdr>
            <w:top w:val="none" w:sz="0" w:space="0" w:color="auto"/>
            <w:left w:val="none" w:sz="0" w:space="0" w:color="auto"/>
            <w:bottom w:val="none" w:sz="0" w:space="0" w:color="auto"/>
            <w:right w:val="none" w:sz="0" w:space="0" w:color="auto"/>
          </w:divBdr>
          <w:divsChild>
            <w:div w:id="1211577780">
              <w:marLeft w:val="0"/>
              <w:marRight w:val="0"/>
              <w:marTop w:val="0"/>
              <w:marBottom w:val="0"/>
              <w:divBdr>
                <w:top w:val="none" w:sz="0" w:space="0" w:color="auto"/>
                <w:left w:val="none" w:sz="0" w:space="0" w:color="auto"/>
                <w:bottom w:val="none" w:sz="0" w:space="0" w:color="auto"/>
                <w:right w:val="none" w:sz="0" w:space="0" w:color="auto"/>
              </w:divBdr>
              <w:divsChild>
                <w:div w:id="1211577795">
                  <w:marLeft w:val="0"/>
                  <w:marRight w:val="0"/>
                  <w:marTop w:val="0"/>
                  <w:marBottom w:val="0"/>
                  <w:divBdr>
                    <w:top w:val="none" w:sz="0" w:space="0" w:color="auto"/>
                    <w:left w:val="none" w:sz="0" w:space="0" w:color="auto"/>
                    <w:bottom w:val="none" w:sz="0" w:space="0" w:color="auto"/>
                    <w:right w:val="none" w:sz="0" w:space="0" w:color="auto"/>
                  </w:divBdr>
                  <w:divsChild>
                    <w:div w:id="12115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7789">
          <w:marLeft w:val="0"/>
          <w:marRight w:val="0"/>
          <w:marTop w:val="0"/>
          <w:marBottom w:val="0"/>
          <w:divBdr>
            <w:top w:val="none" w:sz="0" w:space="0" w:color="auto"/>
            <w:left w:val="none" w:sz="0" w:space="0" w:color="auto"/>
            <w:bottom w:val="none" w:sz="0" w:space="0" w:color="auto"/>
            <w:right w:val="none" w:sz="0" w:space="0" w:color="auto"/>
          </w:divBdr>
          <w:divsChild>
            <w:div w:id="1211577776">
              <w:marLeft w:val="0"/>
              <w:marRight w:val="0"/>
              <w:marTop w:val="0"/>
              <w:marBottom w:val="0"/>
              <w:divBdr>
                <w:top w:val="none" w:sz="0" w:space="0" w:color="auto"/>
                <w:left w:val="none" w:sz="0" w:space="0" w:color="auto"/>
                <w:bottom w:val="none" w:sz="0" w:space="0" w:color="auto"/>
                <w:right w:val="none" w:sz="0" w:space="0" w:color="auto"/>
              </w:divBdr>
              <w:divsChild>
                <w:div w:id="1211577802">
                  <w:marLeft w:val="0"/>
                  <w:marRight w:val="0"/>
                  <w:marTop w:val="0"/>
                  <w:marBottom w:val="0"/>
                  <w:divBdr>
                    <w:top w:val="none" w:sz="0" w:space="0" w:color="auto"/>
                    <w:left w:val="none" w:sz="0" w:space="0" w:color="auto"/>
                    <w:bottom w:val="none" w:sz="0" w:space="0" w:color="auto"/>
                    <w:right w:val="none" w:sz="0" w:space="0" w:color="auto"/>
                  </w:divBdr>
                  <w:divsChild>
                    <w:div w:id="12115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7807">
      <w:marLeft w:val="0"/>
      <w:marRight w:val="0"/>
      <w:marTop w:val="0"/>
      <w:marBottom w:val="0"/>
      <w:divBdr>
        <w:top w:val="none" w:sz="0" w:space="0" w:color="auto"/>
        <w:left w:val="none" w:sz="0" w:space="0" w:color="auto"/>
        <w:bottom w:val="none" w:sz="0" w:space="0" w:color="auto"/>
        <w:right w:val="none" w:sz="0" w:space="0" w:color="auto"/>
      </w:divBdr>
      <w:divsChild>
        <w:div w:id="1211577791">
          <w:marLeft w:val="0"/>
          <w:marRight w:val="0"/>
          <w:marTop w:val="0"/>
          <w:marBottom w:val="0"/>
          <w:divBdr>
            <w:top w:val="none" w:sz="0" w:space="0" w:color="auto"/>
            <w:left w:val="none" w:sz="0" w:space="0" w:color="auto"/>
            <w:bottom w:val="none" w:sz="0" w:space="0" w:color="auto"/>
            <w:right w:val="none" w:sz="0" w:space="0" w:color="auto"/>
          </w:divBdr>
          <w:divsChild>
            <w:div w:id="1211577790">
              <w:marLeft w:val="0"/>
              <w:marRight w:val="0"/>
              <w:marTop w:val="0"/>
              <w:marBottom w:val="0"/>
              <w:divBdr>
                <w:top w:val="none" w:sz="0" w:space="0" w:color="auto"/>
                <w:left w:val="none" w:sz="0" w:space="0" w:color="auto"/>
                <w:bottom w:val="none" w:sz="0" w:space="0" w:color="auto"/>
                <w:right w:val="none" w:sz="0" w:space="0" w:color="auto"/>
              </w:divBdr>
              <w:divsChild>
                <w:div w:id="1211577812">
                  <w:marLeft w:val="0"/>
                  <w:marRight w:val="0"/>
                  <w:marTop w:val="0"/>
                  <w:marBottom w:val="0"/>
                  <w:divBdr>
                    <w:top w:val="none" w:sz="0" w:space="0" w:color="auto"/>
                    <w:left w:val="none" w:sz="0" w:space="0" w:color="auto"/>
                    <w:bottom w:val="none" w:sz="0" w:space="0" w:color="auto"/>
                    <w:right w:val="none" w:sz="0" w:space="0" w:color="auto"/>
                  </w:divBdr>
                  <w:divsChild>
                    <w:div w:id="12115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7793">
          <w:marLeft w:val="0"/>
          <w:marRight w:val="0"/>
          <w:marTop w:val="0"/>
          <w:marBottom w:val="0"/>
          <w:divBdr>
            <w:top w:val="none" w:sz="0" w:space="0" w:color="auto"/>
            <w:left w:val="none" w:sz="0" w:space="0" w:color="auto"/>
            <w:bottom w:val="none" w:sz="0" w:space="0" w:color="auto"/>
            <w:right w:val="none" w:sz="0" w:space="0" w:color="auto"/>
          </w:divBdr>
          <w:divsChild>
            <w:div w:id="1211577805">
              <w:marLeft w:val="0"/>
              <w:marRight w:val="0"/>
              <w:marTop w:val="0"/>
              <w:marBottom w:val="0"/>
              <w:divBdr>
                <w:top w:val="none" w:sz="0" w:space="0" w:color="auto"/>
                <w:left w:val="none" w:sz="0" w:space="0" w:color="auto"/>
                <w:bottom w:val="none" w:sz="0" w:space="0" w:color="auto"/>
                <w:right w:val="none" w:sz="0" w:space="0" w:color="auto"/>
              </w:divBdr>
              <w:divsChild>
                <w:div w:id="1211577815">
                  <w:marLeft w:val="0"/>
                  <w:marRight w:val="0"/>
                  <w:marTop w:val="0"/>
                  <w:marBottom w:val="0"/>
                  <w:divBdr>
                    <w:top w:val="none" w:sz="0" w:space="0" w:color="auto"/>
                    <w:left w:val="none" w:sz="0" w:space="0" w:color="auto"/>
                    <w:bottom w:val="none" w:sz="0" w:space="0" w:color="auto"/>
                    <w:right w:val="none" w:sz="0" w:space="0" w:color="auto"/>
                  </w:divBdr>
                  <w:divsChild>
                    <w:div w:id="12115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7810">
      <w:marLeft w:val="0"/>
      <w:marRight w:val="0"/>
      <w:marTop w:val="0"/>
      <w:marBottom w:val="0"/>
      <w:divBdr>
        <w:top w:val="none" w:sz="0" w:space="0" w:color="auto"/>
        <w:left w:val="none" w:sz="0" w:space="0" w:color="auto"/>
        <w:bottom w:val="none" w:sz="0" w:space="0" w:color="auto"/>
        <w:right w:val="none" w:sz="0" w:space="0" w:color="auto"/>
      </w:divBdr>
    </w:div>
    <w:div w:id="1211577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4739</Characters>
  <Application>Microsoft Office Word</Application>
  <DocSecurity>4</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Kumar</dc:creator>
  <cp:keywords/>
  <dc:description>DocumentCreationInfo</dc:description>
  <cp:lastModifiedBy>cloudconvert_1</cp:lastModifiedBy>
  <cp:revision>2</cp:revision>
  <dcterms:created xsi:type="dcterms:W3CDTF">2024-08-22T21:14:00Z</dcterms:created>
  <dcterms:modified xsi:type="dcterms:W3CDTF">2024-08-22T21:14:00Z</dcterms:modified>
</cp:coreProperties>
</file>