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85" w:rsidRPr="00821A88" w:rsidRDefault="007C4F85" w:rsidP="00821A88">
      <w:pPr>
        <w:pStyle w:val="Default"/>
        <w:spacing w:line="360" w:lineRule="auto"/>
        <w:jc w:val="center"/>
        <w:rPr>
          <w:b/>
          <w:bCs/>
        </w:rPr>
      </w:pPr>
      <w:r w:rsidRPr="00821A88">
        <w:rPr>
          <w:b/>
          <w:bCs/>
        </w:rPr>
        <w:t>Financial Management</w:t>
      </w:r>
    </w:p>
    <w:p w:rsidR="00821A88" w:rsidRPr="00204659" w:rsidRDefault="00204659" w:rsidP="00204659">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821A88" w:rsidRPr="00821A88" w:rsidRDefault="00821A88" w:rsidP="00821A88">
      <w:pPr>
        <w:pStyle w:val="Default"/>
        <w:spacing w:line="360" w:lineRule="auto"/>
        <w:jc w:val="center"/>
        <w:rPr>
          <w:b/>
          <w:bCs/>
        </w:rPr>
      </w:pPr>
    </w:p>
    <w:p w:rsidR="007C4F85" w:rsidRPr="00821A88" w:rsidRDefault="007C4F85" w:rsidP="00821A88">
      <w:pPr>
        <w:pStyle w:val="Default"/>
        <w:spacing w:line="360" w:lineRule="auto"/>
        <w:jc w:val="both"/>
      </w:pPr>
    </w:p>
    <w:p w:rsidR="007C4F85" w:rsidRPr="00821A88" w:rsidRDefault="007C4F85" w:rsidP="00821A88">
      <w:pPr>
        <w:pStyle w:val="Default"/>
        <w:spacing w:line="360" w:lineRule="auto"/>
        <w:jc w:val="both"/>
        <w:rPr>
          <w:b/>
          <w:bCs/>
        </w:rPr>
      </w:pPr>
      <w:r w:rsidRPr="00821A88">
        <w:rPr>
          <w:b/>
          <w:bCs/>
        </w:rPr>
        <w:t xml:space="preserve">Q1. </w:t>
      </w:r>
      <w:r w:rsidRPr="00821A88">
        <w:rPr>
          <w:b/>
        </w:rPr>
        <w:t xml:space="preserve">From the below-given data calculate the overall cost of capital (WACC) for Business Scanner Ltd. </w:t>
      </w:r>
      <w:r w:rsidRPr="00821A88">
        <w:rPr>
          <w:b/>
          <w:bCs/>
        </w:rPr>
        <w:t xml:space="preserve">(10 Marks) </w:t>
      </w:r>
    </w:p>
    <w:p w:rsidR="007C4F85" w:rsidRPr="00821A88" w:rsidRDefault="007C4F85" w:rsidP="00821A88">
      <w:pPr>
        <w:pStyle w:val="Default"/>
        <w:spacing w:line="360" w:lineRule="auto"/>
        <w:jc w:val="both"/>
        <w:rPr>
          <w:b/>
        </w:rPr>
      </w:pPr>
    </w:p>
    <w:tbl>
      <w:tblPr>
        <w:tblStyle w:val="TableGrid"/>
        <w:tblW w:w="0" w:type="auto"/>
        <w:jc w:val="center"/>
        <w:tblLayout w:type="fixed"/>
        <w:tblLook w:val="0000"/>
      </w:tblPr>
      <w:tblGrid>
        <w:gridCol w:w="2176"/>
        <w:gridCol w:w="2176"/>
      </w:tblGrid>
      <w:tr w:rsidR="007C4F85" w:rsidRPr="00821A88" w:rsidTr="005818CB">
        <w:trPr>
          <w:trHeight w:val="100"/>
          <w:jc w:val="center"/>
        </w:trPr>
        <w:tc>
          <w:tcPr>
            <w:tcW w:w="2176" w:type="dxa"/>
          </w:tcPr>
          <w:p w:rsidR="007C4F85" w:rsidRPr="00821A88" w:rsidRDefault="007C4F85" w:rsidP="00821A88">
            <w:pPr>
              <w:pStyle w:val="Default"/>
              <w:spacing w:line="360" w:lineRule="auto"/>
              <w:jc w:val="both"/>
              <w:rPr>
                <w:b/>
              </w:rPr>
            </w:pPr>
            <w:r w:rsidRPr="00821A88">
              <w:rPr>
                <w:b/>
              </w:rPr>
              <w:t xml:space="preserve"> Equity Capital </w:t>
            </w:r>
          </w:p>
        </w:tc>
        <w:tc>
          <w:tcPr>
            <w:tcW w:w="2176" w:type="dxa"/>
          </w:tcPr>
          <w:p w:rsidR="007C4F85" w:rsidRPr="00821A88" w:rsidRDefault="007C4F85" w:rsidP="00821A88">
            <w:pPr>
              <w:pStyle w:val="Default"/>
              <w:spacing w:line="360" w:lineRule="auto"/>
              <w:jc w:val="both"/>
              <w:rPr>
                <w:b/>
              </w:rPr>
            </w:pPr>
            <w:r w:rsidRPr="00821A88">
              <w:rPr>
                <w:b/>
              </w:rPr>
              <w:t xml:space="preserve">20,00,000 </w:t>
            </w:r>
          </w:p>
        </w:tc>
      </w:tr>
      <w:tr w:rsidR="007C4F85" w:rsidRPr="00821A88" w:rsidTr="005818CB">
        <w:trPr>
          <w:trHeight w:val="100"/>
          <w:jc w:val="center"/>
        </w:trPr>
        <w:tc>
          <w:tcPr>
            <w:tcW w:w="2176" w:type="dxa"/>
          </w:tcPr>
          <w:p w:rsidR="007C4F85" w:rsidRPr="00821A88" w:rsidRDefault="007C4F85" w:rsidP="00821A88">
            <w:pPr>
              <w:pStyle w:val="Default"/>
              <w:spacing w:line="360" w:lineRule="auto"/>
              <w:jc w:val="both"/>
              <w:rPr>
                <w:b/>
              </w:rPr>
            </w:pPr>
            <w:r w:rsidRPr="00821A88">
              <w:rPr>
                <w:b/>
              </w:rPr>
              <w:t xml:space="preserve">11% Debt </w:t>
            </w:r>
          </w:p>
        </w:tc>
        <w:tc>
          <w:tcPr>
            <w:tcW w:w="2176" w:type="dxa"/>
          </w:tcPr>
          <w:p w:rsidR="007C4F85" w:rsidRPr="00821A88" w:rsidRDefault="007C4F85" w:rsidP="00821A88">
            <w:pPr>
              <w:pStyle w:val="Default"/>
              <w:spacing w:line="360" w:lineRule="auto"/>
              <w:jc w:val="both"/>
              <w:rPr>
                <w:b/>
              </w:rPr>
            </w:pPr>
            <w:r w:rsidRPr="00821A88">
              <w:rPr>
                <w:b/>
              </w:rPr>
              <w:t xml:space="preserve">30,00,000 </w:t>
            </w:r>
          </w:p>
        </w:tc>
      </w:tr>
      <w:tr w:rsidR="007C4F85" w:rsidRPr="00821A88" w:rsidTr="005818CB">
        <w:trPr>
          <w:trHeight w:val="100"/>
          <w:jc w:val="center"/>
        </w:trPr>
        <w:tc>
          <w:tcPr>
            <w:tcW w:w="2176" w:type="dxa"/>
          </w:tcPr>
          <w:p w:rsidR="007C4F85" w:rsidRPr="00821A88" w:rsidRDefault="007C4F85" w:rsidP="00821A88">
            <w:pPr>
              <w:pStyle w:val="Default"/>
              <w:spacing w:line="360" w:lineRule="auto"/>
              <w:jc w:val="both"/>
              <w:rPr>
                <w:b/>
              </w:rPr>
            </w:pPr>
            <w:r w:rsidRPr="00821A88">
              <w:rPr>
                <w:b/>
              </w:rPr>
              <w:t xml:space="preserve">Tax Rate </w:t>
            </w:r>
          </w:p>
        </w:tc>
        <w:tc>
          <w:tcPr>
            <w:tcW w:w="2176" w:type="dxa"/>
          </w:tcPr>
          <w:p w:rsidR="007C4F85" w:rsidRPr="00821A88" w:rsidRDefault="007C4F85" w:rsidP="00821A88">
            <w:pPr>
              <w:pStyle w:val="Default"/>
              <w:spacing w:line="360" w:lineRule="auto"/>
              <w:jc w:val="both"/>
              <w:rPr>
                <w:b/>
              </w:rPr>
            </w:pPr>
            <w:r w:rsidRPr="00821A88">
              <w:rPr>
                <w:b/>
              </w:rPr>
              <w:t xml:space="preserve">30% </w:t>
            </w:r>
          </w:p>
        </w:tc>
      </w:tr>
      <w:tr w:rsidR="007C4F85" w:rsidRPr="00821A88" w:rsidTr="005818CB">
        <w:trPr>
          <w:trHeight w:val="100"/>
          <w:jc w:val="center"/>
        </w:trPr>
        <w:tc>
          <w:tcPr>
            <w:tcW w:w="2176" w:type="dxa"/>
          </w:tcPr>
          <w:p w:rsidR="007C4F85" w:rsidRPr="00821A88" w:rsidRDefault="007C4F85" w:rsidP="00821A88">
            <w:pPr>
              <w:pStyle w:val="Default"/>
              <w:spacing w:line="360" w:lineRule="auto"/>
              <w:jc w:val="both"/>
              <w:rPr>
                <w:b/>
              </w:rPr>
            </w:pPr>
            <w:r w:rsidRPr="00821A88">
              <w:rPr>
                <w:b/>
              </w:rPr>
              <w:t xml:space="preserve">The risk-free rate of return </w:t>
            </w:r>
          </w:p>
        </w:tc>
        <w:tc>
          <w:tcPr>
            <w:tcW w:w="2176" w:type="dxa"/>
          </w:tcPr>
          <w:p w:rsidR="007C4F85" w:rsidRPr="00821A88" w:rsidRDefault="007C4F85" w:rsidP="00821A88">
            <w:pPr>
              <w:pStyle w:val="Default"/>
              <w:spacing w:line="360" w:lineRule="auto"/>
              <w:jc w:val="both"/>
              <w:rPr>
                <w:b/>
              </w:rPr>
            </w:pPr>
            <w:r w:rsidRPr="00821A88">
              <w:rPr>
                <w:b/>
              </w:rPr>
              <w:t xml:space="preserve">6% </w:t>
            </w:r>
          </w:p>
        </w:tc>
      </w:tr>
      <w:tr w:rsidR="007C4F85" w:rsidRPr="00821A88" w:rsidTr="005818CB">
        <w:trPr>
          <w:trHeight w:val="100"/>
          <w:jc w:val="center"/>
        </w:trPr>
        <w:tc>
          <w:tcPr>
            <w:tcW w:w="2176" w:type="dxa"/>
          </w:tcPr>
          <w:p w:rsidR="007C4F85" w:rsidRPr="00821A88" w:rsidRDefault="007C4F85" w:rsidP="00821A88">
            <w:pPr>
              <w:pStyle w:val="Default"/>
              <w:spacing w:line="360" w:lineRule="auto"/>
              <w:jc w:val="both"/>
              <w:rPr>
                <w:b/>
              </w:rPr>
            </w:pPr>
            <w:r w:rsidRPr="00821A88">
              <w:rPr>
                <w:b/>
              </w:rPr>
              <w:t xml:space="preserve">Sensex yearly return </w:t>
            </w:r>
          </w:p>
        </w:tc>
        <w:tc>
          <w:tcPr>
            <w:tcW w:w="2176" w:type="dxa"/>
          </w:tcPr>
          <w:p w:rsidR="007C4F85" w:rsidRPr="00821A88" w:rsidRDefault="007C4F85" w:rsidP="00821A88">
            <w:pPr>
              <w:pStyle w:val="Default"/>
              <w:spacing w:line="360" w:lineRule="auto"/>
              <w:jc w:val="both"/>
              <w:rPr>
                <w:b/>
              </w:rPr>
            </w:pPr>
            <w:r w:rsidRPr="00821A88">
              <w:rPr>
                <w:b/>
              </w:rPr>
              <w:t xml:space="preserve">15% </w:t>
            </w:r>
          </w:p>
        </w:tc>
      </w:tr>
      <w:tr w:rsidR="007C4F85" w:rsidRPr="00821A88" w:rsidTr="005818CB">
        <w:trPr>
          <w:trHeight w:val="100"/>
          <w:jc w:val="center"/>
        </w:trPr>
        <w:tc>
          <w:tcPr>
            <w:tcW w:w="2176" w:type="dxa"/>
          </w:tcPr>
          <w:p w:rsidR="007C4F85" w:rsidRPr="00821A88" w:rsidRDefault="007C4F85" w:rsidP="00821A88">
            <w:pPr>
              <w:pStyle w:val="Default"/>
              <w:spacing w:line="360" w:lineRule="auto"/>
              <w:jc w:val="both"/>
              <w:rPr>
                <w:b/>
              </w:rPr>
            </w:pPr>
            <w:r w:rsidRPr="00821A88">
              <w:rPr>
                <w:b/>
              </w:rPr>
              <w:t xml:space="preserve">Beta </w:t>
            </w:r>
          </w:p>
        </w:tc>
        <w:tc>
          <w:tcPr>
            <w:tcW w:w="2176" w:type="dxa"/>
          </w:tcPr>
          <w:p w:rsidR="007C4F85" w:rsidRPr="00821A88" w:rsidRDefault="007C4F85" w:rsidP="00821A88">
            <w:pPr>
              <w:pStyle w:val="Default"/>
              <w:spacing w:line="360" w:lineRule="auto"/>
              <w:jc w:val="both"/>
              <w:rPr>
                <w:b/>
              </w:rPr>
            </w:pPr>
            <w:r w:rsidRPr="00821A88">
              <w:rPr>
                <w:b/>
              </w:rPr>
              <w:t xml:space="preserve">1.4 </w:t>
            </w:r>
          </w:p>
          <w:p w:rsidR="007C4F85" w:rsidRPr="00821A88" w:rsidRDefault="007C4F85" w:rsidP="00821A88">
            <w:pPr>
              <w:pStyle w:val="Default"/>
              <w:spacing w:line="360" w:lineRule="auto"/>
              <w:jc w:val="both"/>
              <w:rPr>
                <w:b/>
              </w:rPr>
            </w:pPr>
          </w:p>
        </w:tc>
      </w:tr>
    </w:tbl>
    <w:p w:rsidR="00821A88" w:rsidRDefault="00821A88" w:rsidP="00821A88">
      <w:pPr>
        <w:spacing w:line="360" w:lineRule="auto"/>
        <w:jc w:val="both"/>
        <w:rPr>
          <w:rFonts w:ascii="Times New Roman" w:hAnsi="Times New Roman" w:cs="Times New Roman"/>
          <w:b/>
          <w:bCs/>
          <w:sz w:val="24"/>
          <w:szCs w:val="24"/>
        </w:rPr>
      </w:pPr>
    </w:p>
    <w:p w:rsidR="00821A88" w:rsidRDefault="00821A88" w:rsidP="00821A88">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Ans 1.</w:t>
      </w:r>
      <w:proofErr w:type="gramEnd"/>
    </w:p>
    <w:p w:rsidR="007C4F85" w:rsidRPr="00821A88" w:rsidRDefault="007C4F85" w:rsidP="00821A88">
      <w:pPr>
        <w:spacing w:line="360" w:lineRule="auto"/>
        <w:jc w:val="both"/>
        <w:rPr>
          <w:rFonts w:ascii="Times New Roman" w:hAnsi="Times New Roman" w:cs="Times New Roman"/>
          <w:b/>
          <w:bCs/>
          <w:sz w:val="24"/>
          <w:szCs w:val="24"/>
        </w:rPr>
      </w:pPr>
      <w:r w:rsidRPr="00821A88">
        <w:rPr>
          <w:rFonts w:ascii="Times New Roman" w:hAnsi="Times New Roman" w:cs="Times New Roman"/>
          <w:b/>
          <w:bCs/>
          <w:sz w:val="24"/>
          <w:szCs w:val="24"/>
        </w:rPr>
        <w:t xml:space="preserve">Introduction </w:t>
      </w:r>
    </w:p>
    <w:p w:rsidR="007C4F85" w:rsidRPr="00821A88" w:rsidRDefault="007C4F85" w:rsidP="005818CB">
      <w:pPr>
        <w:spacing w:line="360" w:lineRule="auto"/>
        <w:jc w:val="both"/>
        <w:rPr>
          <w:rFonts w:ascii="Times New Roman" w:hAnsi="Times New Roman" w:cs="Times New Roman"/>
          <w:sz w:val="24"/>
          <w:szCs w:val="24"/>
        </w:rPr>
      </w:pPr>
      <w:r w:rsidRPr="00821A88">
        <w:rPr>
          <w:rFonts w:ascii="Times New Roman" w:hAnsi="Times New Roman" w:cs="Times New Roman"/>
          <w:sz w:val="24"/>
          <w:szCs w:val="24"/>
        </w:rPr>
        <w:t xml:space="preserve">The weighted average price of capital consists of shared shares, favored shares, securities &amp; different varieties of responsibilities. It's by far the regular after-overtax price of funding for a business. WACC is the interest amount an enterprise will likely need to reimburse to endow its assets. The WACC is often applied to estimate the desired charge of return (RRR) since it represents a single value of the rate of interest required to capitalize the business via bondholders and shareholders. Investors are searching out advanced revenues, so a business’s WACC may be advanced if its stock fee is risky or </w:t>
      </w:r>
    </w:p>
    <w:p w:rsidR="005818CB" w:rsidRDefault="005818CB" w:rsidP="005818CB">
      <w:pPr>
        <w:shd w:val="clear" w:color="auto" w:fill="FFFFFF"/>
        <w:spacing w:after="240"/>
        <w:rPr>
          <w:sz w:val="27"/>
          <w:szCs w:val="27"/>
        </w:rPr>
      </w:pPr>
      <w:r>
        <w:rPr>
          <w:rFonts w:ascii="Georgia" w:hAnsi="Georgia"/>
          <w:sz w:val="33"/>
          <w:szCs w:val="33"/>
          <w:highlight w:val="red"/>
          <w:shd w:val="clear" w:color="auto" w:fill="FFFF00"/>
        </w:rPr>
        <w:t>It is only half solved</w:t>
      </w:r>
    </w:p>
    <w:p w:rsidR="005818CB" w:rsidRDefault="005818CB" w:rsidP="005818CB">
      <w:pPr>
        <w:shd w:val="clear" w:color="auto" w:fill="FFFFFF"/>
        <w:spacing w:after="0" w:line="360" w:lineRule="auto"/>
        <w:jc w:val="center"/>
        <w:rPr>
          <w:rFonts w:ascii="Georgia" w:hAnsi="Georgia" w:cs="Calibri"/>
          <w:color w:val="222222"/>
          <w:sz w:val="33"/>
          <w:szCs w:val="33"/>
          <w:shd w:val="clear" w:color="auto" w:fill="FFFF00"/>
        </w:rPr>
      </w:pPr>
    </w:p>
    <w:p w:rsidR="005818CB" w:rsidRDefault="005818CB" w:rsidP="005818CB">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5818CB" w:rsidRDefault="005818CB" w:rsidP="005818CB">
      <w:pPr>
        <w:shd w:val="clear" w:color="auto" w:fill="FFFFFF"/>
        <w:spacing w:after="0" w:line="360" w:lineRule="auto"/>
        <w:jc w:val="center"/>
        <w:rPr>
          <w:rFonts w:cs="Calibri"/>
          <w:color w:val="222222"/>
        </w:rPr>
      </w:pPr>
    </w:p>
    <w:p w:rsidR="005818CB" w:rsidRDefault="004E6FD1" w:rsidP="005818CB">
      <w:pPr>
        <w:shd w:val="clear" w:color="auto" w:fill="FFFFFF"/>
        <w:spacing w:after="0" w:line="360" w:lineRule="auto"/>
        <w:jc w:val="center"/>
        <w:rPr>
          <w:rFonts w:cs="Calibri"/>
          <w:color w:val="222222"/>
        </w:rPr>
      </w:pPr>
      <w:hyperlink r:id="rId5" w:tgtFrame="_blank" w:history="1">
        <w:r w:rsidR="005818CB">
          <w:rPr>
            <w:rStyle w:val="Hyperlink"/>
            <w:rFonts w:ascii="Georgia" w:eastAsiaTheme="majorEastAsia" w:hAnsi="Georgia" w:cs="Calibri"/>
            <w:sz w:val="33"/>
          </w:rPr>
          <w:t>https://nmimsassignment.com/online-buy-2/</w:t>
        </w:r>
      </w:hyperlink>
    </w:p>
    <w:p w:rsidR="005818CB" w:rsidRDefault="005818CB" w:rsidP="005818CB">
      <w:pPr>
        <w:shd w:val="clear" w:color="auto" w:fill="FFFFFF"/>
        <w:spacing w:after="0" w:line="360" w:lineRule="auto"/>
        <w:jc w:val="center"/>
        <w:rPr>
          <w:rFonts w:cs="Calibri"/>
          <w:color w:val="222222"/>
        </w:rPr>
      </w:pPr>
    </w:p>
    <w:p w:rsidR="005818CB" w:rsidRDefault="005818CB" w:rsidP="005818C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5818CB" w:rsidRDefault="005818CB" w:rsidP="005818CB">
      <w:pPr>
        <w:shd w:val="clear" w:color="auto" w:fill="FFFFFF"/>
        <w:spacing w:after="0" w:line="360" w:lineRule="auto"/>
        <w:jc w:val="center"/>
        <w:rPr>
          <w:rFonts w:ascii="Arial" w:hAnsi="Arial" w:cs="Calibri"/>
          <w:color w:val="222222"/>
          <w:sz w:val="24"/>
        </w:rPr>
      </w:pPr>
    </w:p>
    <w:p w:rsidR="005818CB" w:rsidRDefault="005818CB" w:rsidP="005818C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5818CB" w:rsidRDefault="005818CB" w:rsidP="005818CB">
      <w:pPr>
        <w:shd w:val="clear" w:color="auto" w:fill="FFFFFF"/>
        <w:spacing w:after="0" w:line="360" w:lineRule="auto"/>
        <w:jc w:val="center"/>
        <w:rPr>
          <w:rFonts w:ascii="Georgia" w:hAnsi="Georgia" w:cs="Calibri"/>
          <w:color w:val="500050"/>
          <w:sz w:val="33"/>
          <w:szCs w:val="33"/>
        </w:rPr>
      </w:pPr>
    </w:p>
    <w:p w:rsidR="005818CB" w:rsidRDefault="005818CB" w:rsidP="005818CB">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5818CB" w:rsidRDefault="005818CB" w:rsidP="005818C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818CB" w:rsidRDefault="005818CB" w:rsidP="005818CB">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818CB" w:rsidRDefault="005818CB" w:rsidP="005818CB">
      <w:pPr>
        <w:shd w:val="clear" w:color="auto" w:fill="FFFFFF"/>
        <w:spacing w:after="0" w:line="360" w:lineRule="auto"/>
        <w:jc w:val="center"/>
        <w:rPr>
          <w:rFonts w:cs="Calibri"/>
          <w:color w:val="500050"/>
        </w:rPr>
      </w:pPr>
    </w:p>
    <w:p w:rsidR="005818CB" w:rsidRDefault="005818CB" w:rsidP="005818C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818CB" w:rsidRDefault="005818CB" w:rsidP="005818C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818CB" w:rsidRDefault="005818CB" w:rsidP="005818C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818CB" w:rsidRDefault="005818CB" w:rsidP="005818C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818CB" w:rsidRDefault="005818CB" w:rsidP="005818C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818CB" w:rsidRDefault="005818CB" w:rsidP="005818C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C0865" w:rsidRDefault="00CC0865" w:rsidP="00821A88">
      <w:pPr>
        <w:spacing w:line="360" w:lineRule="auto"/>
        <w:jc w:val="both"/>
        <w:rPr>
          <w:rFonts w:ascii="Times New Roman" w:hAnsi="Times New Roman" w:cs="Times New Roman"/>
          <w:b/>
          <w:sz w:val="24"/>
          <w:szCs w:val="24"/>
        </w:rPr>
      </w:pPr>
    </w:p>
    <w:p w:rsidR="00821A88" w:rsidRDefault="00821A88" w:rsidP="00821A88">
      <w:pPr>
        <w:spacing w:line="360" w:lineRule="auto"/>
        <w:jc w:val="both"/>
        <w:rPr>
          <w:rFonts w:ascii="Times New Roman" w:hAnsi="Times New Roman" w:cs="Times New Roman"/>
          <w:b/>
          <w:sz w:val="24"/>
          <w:szCs w:val="24"/>
        </w:rPr>
      </w:pPr>
    </w:p>
    <w:p w:rsidR="00821A88" w:rsidRDefault="00821A88" w:rsidP="00821A88">
      <w:pPr>
        <w:spacing w:line="360" w:lineRule="auto"/>
        <w:jc w:val="both"/>
        <w:rPr>
          <w:rFonts w:ascii="Times New Roman" w:hAnsi="Times New Roman" w:cs="Times New Roman"/>
          <w:b/>
          <w:sz w:val="24"/>
          <w:szCs w:val="24"/>
        </w:rPr>
      </w:pPr>
    </w:p>
    <w:p w:rsidR="00821A88" w:rsidRPr="00821A88" w:rsidRDefault="00821A88" w:rsidP="00821A88">
      <w:pPr>
        <w:spacing w:line="360" w:lineRule="auto"/>
        <w:jc w:val="both"/>
        <w:rPr>
          <w:rFonts w:ascii="Times New Roman" w:hAnsi="Times New Roman" w:cs="Times New Roman"/>
          <w:b/>
          <w:sz w:val="24"/>
          <w:szCs w:val="24"/>
        </w:rPr>
      </w:pPr>
    </w:p>
    <w:p w:rsidR="007C4F85" w:rsidRPr="00821A88" w:rsidRDefault="007C4F85" w:rsidP="00821A88">
      <w:pPr>
        <w:pStyle w:val="Default"/>
        <w:spacing w:line="360" w:lineRule="auto"/>
        <w:jc w:val="both"/>
        <w:rPr>
          <w:b/>
          <w:bCs/>
        </w:rPr>
      </w:pPr>
      <w:r w:rsidRPr="00821A88">
        <w:rPr>
          <w:b/>
          <w:bCs/>
        </w:rPr>
        <w:t xml:space="preserve">Q.2 </w:t>
      </w:r>
      <w:r w:rsidRPr="00821A88">
        <w:rPr>
          <w:b/>
        </w:rPr>
        <w:t>Ramadheer wants to invest 10</w:t>
      </w:r>
      <w:proofErr w:type="gramStart"/>
      <w:r w:rsidRPr="00821A88">
        <w:rPr>
          <w:b/>
        </w:rPr>
        <w:t>,00,000</w:t>
      </w:r>
      <w:proofErr w:type="gramEnd"/>
      <w:r w:rsidRPr="00821A88">
        <w:rPr>
          <w:b/>
        </w:rPr>
        <w:t xml:space="preserve"> for 5 years and he is having 2 investments option. </w:t>
      </w:r>
      <w:r w:rsidRPr="00821A88">
        <w:rPr>
          <w:b/>
          <w:bCs/>
        </w:rPr>
        <w:t xml:space="preserve">(10 Marks) </w:t>
      </w:r>
    </w:p>
    <w:p w:rsidR="007C4F85" w:rsidRPr="00821A88" w:rsidRDefault="007C4F85" w:rsidP="00821A88">
      <w:pPr>
        <w:pStyle w:val="Default"/>
        <w:spacing w:line="360" w:lineRule="auto"/>
        <w:jc w:val="both"/>
        <w:rPr>
          <w:b/>
        </w:rPr>
      </w:pPr>
    </w:p>
    <w:p w:rsidR="007C4F85" w:rsidRPr="00821A88" w:rsidRDefault="007C4F85" w:rsidP="00821A88">
      <w:pPr>
        <w:pStyle w:val="Default"/>
        <w:spacing w:line="360" w:lineRule="auto"/>
        <w:jc w:val="both"/>
        <w:rPr>
          <w:b/>
        </w:rPr>
      </w:pPr>
      <w:r w:rsidRPr="00821A88">
        <w:rPr>
          <w:b/>
          <w:bCs/>
        </w:rPr>
        <w:lastRenderedPageBreak/>
        <w:t xml:space="preserve">Option 1 </w:t>
      </w:r>
      <w:r w:rsidRPr="00821A88">
        <w:rPr>
          <w:b/>
        </w:rPr>
        <w:t xml:space="preserve">Investment in a mutual fund with a return of 12% </w:t>
      </w:r>
    </w:p>
    <w:p w:rsidR="007C4F85" w:rsidRPr="00821A88" w:rsidRDefault="007C4F85" w:rsidP="00821A88">
      <w:pPr>
        <w:pStyle w:val="Default"/>
        <w:spacing w:line="360" w:lineRule="auto"/>
        <w:jc w:val="both"/>
        <w:rPr>
          <w:b/>
        </w:rPr>
      </w:pPr>
      <w:r w:rsidRPr="00821A88">
        <w:rPr>
          <w:b/>
          <w:bCs/>
        </w:rPr>
        <w:t xml:space="preserve">Option 2 </w:t>
      </w:r>
      <w:r w:rsidRPr="00821A88">
        <w:rPr>
          <w:b/>
        </w:rPr>
        <w:t xml:space="preserve">50% investment in shares with a return of 14% and </w:t>
      </w:r>
    </w:p>
    <w:p w:rsidR="007C4F85" w:rsidRPr="00821A88" w:rsidRDefault="007C4F85" w:rsidP="00821A88">
      <w:pPr>
        <w:pStyle w:val="Default"/>
        <w:spacing w:line="360" w:lineRule="auto"/>
        <w:jc w:val="both"/>
        <w:rPr>
          <w:b/>
        </w:rPr>
      </w:pPr>
      <w:r w:rsidRPr="00821A88">
        <w:rPr>
          <w:b/>
        </w:rPr>
        <w:t xml:space="preserve">50% investment in bonds with a return of 10% </w:t>
      </w:r>
    </w:p>
    <w:p w:rsidR="007C4F85" w:rsidRPr="00821A88" w:rsidRDefault="007C4F85" w:rsidP="00821A88">
      <w:pPr>
        <w:pStyle w:val="Default"/>
        <w:spacing w:line="360" w:lineRule="auto"/>
        <w:jc w:val="both"/>
        <w:rPr>
          <w:b/>
        </w:rPr>
      </w:pPr>
      <w:r w:rsidRPr="00821A88">
        <w:rPr>
          <w:b/>
        </w:rPr>
        <w:t xml:space="preserve">Find out which option should be considered. </w:t>
      </w:r>
    </w:p>
    <w:p w:rsidR="007C4F85" w:rsidRPr="00821A88" w:rsidRDefault="007C4F85" w:rsidP="00821A88">
      <w:pPr>
        <w:pStyle w:val="Default"/>
        <w:spacing w:line="360" w:lineRule="auto"/>
        <w:jc w:val="both"/>
      </w:pPr>
    </w:p>
    <w:p w:rsidR="007C4F85" w:rsidRPr="00821A88" w:rsidRDefault="00821A88" w:rsidP="00821A88">
      <w:pPr>
        <w:pStyle w:val="Default"/>
        <w:spacing w:line="360" w:lineRule="auto"/>
        <w:jc w:val="both"/>
        <w:rPr>
          <w:b/>
          <w:bCs/>
        </w:rPr>
      </w:pPr>
      <w:r>
        <w:rPr>
          <w:b/>
          <w:bCs/>
        </w:rPr>
        <w:t>Ans:</w:t>
      </w:r>
    </w:p>
    <w:p w:rsidR="00CC0865" w:rsidRPr="00821A88" w:rsidRDefault="007C4F85" w:rsidP="00821A88">
      <w:pPr>
        <w:pStyle w:val="Default"/>
        <w:spacing w:line="360" w:lineRule="auto"/>
        <w:jc w:val="both"/>
        <w:rPr>
          <w:b/>
          <w:bCs/>
        </w:rPr>
      </w:pPr>
      <w:r w:rsidRPr="00821A88">
        <w:rPr>
          <w:b/>
          <w:bCs/>
        </w:rPr>
        <w:t>Introduction</w:t>
      </w:r>
    </w:p>
    <w:p w:rsidR="007C4F85" w:rsidRPr="00821A88" w:rsidRDefault="007C4F85" w:rsidP="005818CB">
      <w:pPr>
        <w:spacing w:line="360" w:lineRule="auto"/>
        <w:jc w:val="both"/>
        <w:rPr>
          <w:rFonts w:ascii="Times New Roman" w:hAnsi="Times New Roman" w:cs="Times New Roman"/>
          <w:sz w:val="24"/>
          <w:szCs w:val="24"/>
        </w:rPr>
      </w:pPr>
      <w:r w:rsidRPr="00821A88">
        <w:rPr>
          <w:rFonts w:ascii="Times New Roman" w:hAnsi="Times New Roman" w:cs="Times New Roman"/>
          <w:sz w:val="24"/>
          <w:szCs w:val="24"/>
        </w:rPr>
        <w:t>Ramadheer’s desire to invest his hard-earned 10</w:t>
      </w:r>
      <w:proofErr w:type="gramStart"/>
      <w:r w:rsidRPr="00821A88">
        <w:rPr>
          <w:rFonts w:ascii="Times New Roman" w:hAnsi="Times New Roman" w:cs="Times New Roman"/>
          <w:sz w:val="24"/>
          <w:szCs w:val="24"/>
        </w:rPr>
        <w:t>,00,000</w:t>
      </w:r>
      <w:proofErr w:type="gramEnd"/>
      <w:r w:rsidRPr="00821A88">
        <w:rPr>
          <w:rFonts w:ascii="Times New Roman" w:hAnsi="Times New Roman" w:cs="Times New Roman"/>
          <w:sz w:val="24"/>
          <w:szCs w:val="24"/>
        </w:rPr>
        <w:t xml:space="preserve"> rupees for five years is a wise financial decision. But, with more than one funding option, he is faced with a dilemma on which choice to remember. The two options available to him are investing in a mutual fund with a go-back of 12% or a 50% investment in stocks with a go-back of 14% and a 50% investment in bonds with a return of 10%. About investing, the return on funding (ROI) is a crucial aspect to recall. In this situation, if </w:t>
      </w:r>
    </w:p>
    <w:p w:rsidR="007C4F85" w:rsidRDefault="007C4F85" w:rsidP="00821A88">
      <w:pPr>
        <w:pStyle w:val="Default"/>
        <w:spacing w:line="360" w:lineRule="auto"/>
        <w:jc w:val="both"/>
      </w:pPr>
    </w:p>
    <w:p w:rsidR="00821A88" w:rsidRPr="00821A88" w:rsidRDefault="00821A88" w:rsidP="00821A88">
      <w:pPr>
        <w:pStyle w:val="Default"/>
        <w:spacing w:line="360" w:lineRule="auto"/>
        <w:jc w:val="both"/>
      </w:pPr>
    </w:p>
    <w:p w:rsidR="007C4F85" w:rsidRPr="00821A88" w:rsidRDefault="007C4F85" w:rsidP="00821A88">
      <w:pPr>
        <w:pStyle w:val="Default"/>
        <w:spacing w:line="360" w:lineRule="auto"/>
        <w:jc w:val="both"/>
        <w:rPr>
          <w:b/>
        </w:rPr>
      </w:pPr>
      <w:r w:rsidRPr="00821A88">
        <w:rPr>
          <w:b/>
          <w:bCs/>
        </w:rPr>
        <w:t xml:space="preserve">Q.3 </w:t>
      </w:r>
      <w:r w:rsidRPr="00821A88">
        <w:rPr>
          <w:b/>
        </w:rPr>
        <w:t xml:space="preserve">Adani has two alternative proposals under consideration. Project Food Chain requires a capital outlay of Rs. 50, 00,000, and Project Ice Cream Parlor requires Rs. 100, 00,000. Both are estimated to provide a cash flow for five years: </w:t>
      </w:r>
    </w:p>
    <w:p w:rsidR="007C4F85" w:rsidRPr="00821A88" w:rsidRDefault="007C4F85" w:rsidP="00821A88">
      <w:pPr>
        <w:pStyle w:val="Default"/>
        <w:spacing w:line="360" w:lineRule="auto"/>
        <w:jc w:val="both"/>
        <w:rPr>
          <w:b/>
        </w:rPr>
      </w:pPr>
    </w:p>
    <w:p w:rsidR="007C4F85" w:rsidRPr="00821A88" w:rsidRDefault="007C4F85" w:rsidP="00821A88">
      <w:pPr>
        <w:pStyle w:val="Default"/>
        <w:spacing w:line="360" w:lineRule="auto"/>
        <w:jc w:val="both"/>
        <w:rPr>
          <w:b/>
        </w:rPr>
      </w:pPr>
      <w:r w:rsidRPr="00821A88">
        <w:rPr>
          <w:b/>
        </w:rPr>
        <w:t xml:space="preserve">Project Chai Rs. 18, 00,000 per year, and Project Ice Cream Parlor Rs. 35, 00,000 per year. The cost of capital is 14%. Show which of the two projects is preferable from the viewpoint of </w:t>
      </w:r>
    </w:p>
    <w:p w:rsidR="007C4F85" w:rsidRPr="00821A88" w:rsidRDefault="007C4F85" w:rsidP="00821A88">
      <w:pPr>
        <w:pStyle w:val="Default"/>
        <w:spacing w:line="360" w:lineRule="auto"/>
        <w:jc w:val="both"/>
        <w:rPr>
          <w:b/>
        </w:rPr>
      </w:pPr>
    </w:p>
    <w:p w:rsidR="007C4F85" w:rsidRPr="00821A88" w:rsidRDefault="007C4F85" w:rsidP="00821A88">
      <w:pPr>
        <w:pStyle w:val="Default"/>
        <w:numPr>
          <w:ilvl w:val="0"/>
          <w:numId w:val="1"/>
        </w:numPr>
        <w:spacing w:line="360" w:lineRule="auto"/>
        <w:jc w:val="both"/>
        <w:rPr>
          <w:b/>
          <w:bCs/>
        </w:rPr>
      </w:pPr>
      <w:r w:rsidRPr="00821A88">
        <w:rPr>
          <w:b/>
        </w:rPr>
        <w:t xml:space="preserve">Net present value method </w:t>
      </w:r>
      <w:r w:rsidRPr="00821A88">
        <w:rPr>
          <w:b/>
          <w:bCs/>
        </w:rPr>
        <w:t xml:space="preserve">(5 marks) </w:t>
      </w:r>
    </w:p>
    <w:p w:rsidR="007C4F85" w:rsidRPr="00821A88" w:rsidRDefault="007C4F85" w:rsidP="00821A88">
      <w:pPr>
        <w:pStyle w:val="Default"/>
        <w:spacing w:line="360" w:lineRule="auto"/>
        <w:jc w:val="both"/>
        <w:rPr>
          <w:bCs/>
        </w:rPr>
      </w:pPr>
    </w:p>
    <w:p w:rsidR="00821A88" w:rsidRDefault="00821A88" w:rsidP="00821A88">
      <w:pPr>
        <w:pStyle w:val="Default"/>
        <w:spacing w:line="360" w:lineRule="auto"/>
        <w:jc w:val="both"/>
        <w:rPr>
          <w:b/>
          <w:bCs/>
        </w:rPr>
      </w:pPr>
      <w:r>
        <w:rPr>
          <w:b/>
          <w:bCs/>
        </w:rPr>
        <w:t>Ans:</w:t>
      </w:r>
    </w:p>
    <w:p w:rsidR="007C4F85" w:rsidRPr="00821A88" w:rsidRDefault="007C4F85" w:rsidP="00821A88">
      <w:pPr>
        <w:pStyle w:val="Default"/>
        <w:spacing w:line="360" w:lineRule="auto"/>
        <w:jc w:val="both"/>
        <w:rPr>
          <w:b/>
          <w:bCs/>
        </w:rPr>
      </w:pPr>
      <w:r w:rsidRPr="00821A88">
        <w:rPr>
          <w:b/>
          <w:bCs/>
        </w:rPr>
        <w:t xml:space="preserve">Introduction </w:t>
      </w:r>
    </w:p>
    <w:p w:rsidR="00CC0865" w:rsidRPr="00821A88" w:rsidRDefault="007C4F85" w:rsidP="005818CB">
      <w:pPr>
        <w:spacing w:line="360" w:lineRule="auto"/>
        <w:jc w:val="both"/>
      </w:pPr>
      <w:r w:rsidRPr="00821A88">
        <w:rPr>
          <w:rFonts w:ascii="Times New Roman" w:hAnsi="Times New Roman" w:cs="Times New Roman"/>
          <w:sz w:val="24"/>
          <w:szCs w:val="24"/>
        </w:rPr>
        <w:t>The present fee is used for the assessment of future profitability. The summation of all upcoming</w:t>
      </w:r>
      <w:r w:rsidR="00CC0865" w:rsidRPr="00821A88">
        <w:rPr>
          <w:rFonts w:ascii="Times New Roman" w:hAnsi="Times New Roman" w:cs="Times New Roman"/>
          <w:sz w:val="24"/>
          <w:szCs w:val="24"/>
        </w:rPr>
        <w:t xml:space="preserve"> </w:t>
      </w:r>
      <w:r w:rsidRPr="00821A88">
        <w:rPr>
          <w:rFonts w:ascii="Times New Roman" w:hAnsi="Times New Roman" w:cs="Times New Roman"/>
          <w:sz w:val="24"/>
          <w:szCs w:val="24"/>
        </w:rPr>
        <w:t>money</w:t>
      </w:r>
      <w:r w:rsidR="00CC0865" w:rsidRPr="00821A88">
        <w:rPr>
          <w:rFonts w:ascii="Times New Roman" w:hAnsi="Times New Roman" w:cs="Times New Roman"/>
          <w:sz w:val="24"/>
          <w:szCs w:val="24"/>
        </w:rPr>
        <w:t xml:space="preserve"> </w:t>
      </w:r>
      <w:r w:rsidRPr="00821A88">
        <w:rPr>
          <w:rFonts w:ascii="Times New Roman" w:hAnsi="Times New Roman" w:cs="Times New Roman"/>
          <w:sz w:val="24"/>
          <w:szCs w:val="24"/>
        </w:rPr>
        <w:t xml:space="preserve">movements over the lifespan of the capital decreased to the current well worth represents the present value of the money. While making a price range, businesses regularly use NPV calculations to decide wherein and how they spend their cash. Financial </w:t>
      </w:r>
    </w:p>
    <w:p w:rsidR="007C4F85" w:rsidRDefault="007C4F85" w:rsidP="00821A88">
      <w:pPr>
        <w:pStyle w:val="Default"/>
        <w:spacing w:line="360" w:lineRule="auto"/>
        <w:jc w:val="both"/>
      </w:pPr>
    </w:p>
    <w:p w:rsidR="00821A88" w:rsidRDefault="00821A88" w:rsidP="00821A88">
      <w:pPr>
        <w:pStyle w:val="Default"/>
        <w:spacing w:line="360" w:lineRule="auto"/>
        <w:jc w:val="both"/>
      </w:pPr>
    </w:p>
    <w:p w:rsidR="00821A88" w:rsidRDefault="00821A88" w:rsidP="00821A88">
      <w:pPr>
        <w:pStyle w:val="Default"/>
        <w:spacing w:line="360" w:lineRule="auto"/>
        <w:jc w:val="both"/>
      </w:pPr>
    </w:p>
    <w:p w:rsidR="00821A88" w:rsidRPr="00821A88" w:rsidRDefault="00821A88" w:rsidP="00821A88">
      <w:pPr>
        <w:pStyle w:val="Default"/>
        <w:spacing w:line="360" w:lineRule="auto"/>
        <w:jc w:val="both"/>
      </w:pPr>
    </w:p>
    <w:p w:rsidR="00821A88" w:rsidRDefault="007C4F85" w:rsidP="00821A88">
      <w:pPr>
        <w:pStyle w:val="ListParagraph"/>
        <w:numPr>
          <w:ilvl w:val="0"/>
          <w:numId w:val="1"/>
        </w:numPr>
        <w:spacing w:line="360" w:lineRule="auto"/>
        <w:jc w:val="both"/>
        <w:rPr>
          <w:rFonts w:cs="Times New Roman"/>
          <w:b/>
          <w:bCs/>
        </w:rPr>
      </w:pPr>
      <w:r w:rsidRPr="00821A88">
        <w:rPr>
          <w:rFonts w:cs="Times New Roman"/>
          <w:b/>
        </w:rPr>
        <w:t xml:space="preserve">Profitability Index </w:t>
      </w:r>
      <w:r w:rsidRPr="00821A88">
        <w:rPr>
          <w:rFonts w:cs="Times New Roman"/>
          <w:b/>
          <w:bCs/>
        </w:rPr>
        <w:t xml:space="preserve">(5 marks) </w:t>
      </w:r>
    </w:p>
    <w:p w:rsidR="00821A88" w:rsidRPr="00821A88" w:rsidRDefault="00821A88" w:rsidP="00821A88">
      <w:pPr>
        <w:pStyle w:val="ListParagraph"/>
        <w:spacing w:line="360" w:lineRule="auto"/>
        <w:ind w:left="1080"/>
        <w:jc w:val="both"/>
        <w:rPr>
          <w:rFonts w:cs="Times New Roman"/>
          <w:b/>
          <w:bCs/>
        </w:rPr>
      </w:pPr>
    </w:p>
    <w:p w:rsidR="007C4F85" w:rsidRPr="00821A88" w:rsidRDefault="00821A88" w:rsidP="00821A8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t>
      </w:r>
    </w:p>
    <w:p w:rsidR="007C4F85" w:rsidRPr="00821A88" w:rsidRDefault="007C4F85" w:rsidP="00821A88">
      <w:pPr>
        <w:spacing w:line="360" w:lineRule="auto"/>
        <w:jc w:val="both"/>
        <w:rPr>
          <w:rFonts w:ascii="Times New Roman" w:hAnsi="Times New Roman" w:cs="Times New Roman"/>
          <w:b/>
          <w:bCs/>
          <w:sz w:val="24"/>
          <w:szCs w:val="24"/>
        </w:rPr>
      </w:pPr>
      <w:r w:rsidRPr="00821A88">
        <w:rPr>
          <w:rFonts w:ascii="Times New Roman" w:hAnsi="Times New Roman" w:cs="Times New Roman"/>
          <w:b/>
          <w:bCs/>
          <w:sz w:val="24"/>
          <w:szCs w:val="24"/>
        </w:rPr>
        <w:t xml:space="preserve">Introduction </w:t>
      </w:r>
    </w:p>
    <w:p w:rsidR="007C4F85" w:rsidRPr="00821A88" w:rsidRDefault="007C4F85" w:rsidP="00821A88">
      <w:pPr>
        <w:spacing w:line="360" w:lineRule="auto"/>
        <w:jc w:val="both"/>
        <w:rPr>
          <w:rFonts w:ascii="Times New Roman" w:hAnsi="Times New Roman" w:cs="Times New Roman"/>
          <w:sz w:val="24"/>
          <w:szCs w:val="24"/>
        </w:rPr>
      </w:pPr>
      <w:r w:rsidRPr="00821A88">
        <w:rPr>
          <w:rFonts w:ascii="Times New Roman" w:hAnsi="Times New Roman" w:cs="Times New Roman"/>
          <w:sz w:val="24"/>
          <w:szCs w:val="24"/>
        </w:rPr>
        <w:t xml:space="preserve">The success directory, occasionally named the </w:t>
      </w:r>
      <w:r w:rsidR="00CC0865" w:rsidRPr="00821A88">
        <w:rPr>
          <w:rFonts w:ascii="Times New Roman" w:hAnsi="Times New Roman" w:cs="Times New Roman"/>
          <w:sz w:val="24"/>
          <w:szCs w:val="24"/>
        </w:rPr>
        <w:t xml:space="preserve">worth asset </w:t>
      </w:r>
      <w:r w:rsidRPr="00821A88">
        <w:rPr>
          <w:rFonts w:ascii="Times New Roman" w:hAnsi="Times New Roman" w:cs="Times New Roman"/>
          <w:sz w:val="24"/>
          <w:szCs w:val="24"/>
        </w:rPr>
        <w:t>relation or income asset proportion, assesses the association amid the prices</w:t>
      </w:r>
      <w:r w:rsidR="00CC0865" w:rsidRPr="00821A88">
        <w:rPr>
          <w:rFonts w:ascii="Times New Roman" w:hAnsi="Times New Roman" w:cs="Times New Roman"/>
          <w:sz w:val="24"/>
          <w:szCs w:val="24"/>
        </w:rPr>
        <w:t xml:space="preserve"> </w:t>
      </w:r>
      <w:r w:rsidRPr="00821A88">
        <w:rPr>
          <w:rFonts w:ascii="Times New Roman" w:hAnsi="Times New Roman" w:cs="Times New Roman"/>
          <w:sz w:val="24"/>
          <w:szCs w:val="24"/>
        </w:rPr>
        <w:t>&amp;</w:t>
      </w:r>
      <w:r w:rsidR="00CC0865" w:rsidRPr="00821A88">
        <w:rPr>
          <w:rFonts w:ascii="Times New Roman" w:hAnsi="Times New Roman" w:cs="Times New Roman"/>
          <w:sz w:val="24"/>
          <w:szCs w:val="24"/>
        </w:rPr>
        <w:t xml:space="preserve"> </w:t>
      </w:r>
      <w:r w:rsidRPr="00821A88">
        <w:rPr>
          <w:rFonts w:ascii="Times New Roman" w:hAnsi="Times New Roman" w:cs="Times New Roman"/>
          <w:sz w:val="24"/>
          <w:szCs w:val="24"/>
        </w:rPr>
        <w:t>welfare of a future scheme. By using keeping apart the plan’s early asset by the present worth of the expected</w:t>
      </w:r>
      <w:r w:rsidR="00CC0865" w:rsidRPr="00821A88">
        <w:rPr>
          <w:rFonts w:ascii="Times New Roman" w:hAnsi="Times New Roman" w:cs="Times New Roman"/>
          <w:sz w:val="24"/>
          <w:szCs w:val="24"/>
        </w:rPr>
        <w:t xml:space="preserve"> </w:t>
      </w:r>
      <w:r w:rsidRPr="00821A88">
        <w:rPr>
          <w:rFonts w:ascii="Times New Roman" w:hAnsi="Times New Roman" w:cs="Times New Roman"/>
          <w:sz w:val="24"/>
          <w:szCs w:val="24"/>
        </w:rPr>
        <w:t>upcoming</w:t>
      </w:r>
      <w:r w:rsidR="00CC0865" w:rsidRPr="00821A88">
        <w:rPr>
          <w:rFonts w:ascii="Times New Roman" w:hAnsi="Times New Roman" w:cs="Times New Roman"/>
          <w:sz w:val="24"/>
          <w:szCs w:val="24"/>
        </w:rPr>
        <w:t xml:space="preserve"> </w:t>
      </w:r>
      <w:r w:rsidRPr="00821A88">
        <w:rPr>
          <w:rFonts w:ascii="Times New Roman" w:hAnsi="Times New Roman" w:cs="Times New Roman"/>
          <w:sz w:val="24"/>
          <w:szCs w:val="24"/>
        </w:rPr>
        <w:t>money</w:t>
      </w:r>
      <w:r w:rsidR="00CC0865" w:rsidRPr="00821A88">
        <w:rPr>
          <w:rFonts w:ascii="Times New Roman" w:hAnsi="Times New Roman" w:cs="Times New Roman"/>
          <w:sz w:val="24"/>
          <w:szCs w:val="24"/>
        </w:rPr>
        <w:t xml:space="preserve"> </w:t>
      </w:r>
    </w:p>
    <w:sectPr w:rsidR="007C4F85" w:rsidRPr="00821A88" w:rsidSect="006106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228AA"/>
    <w:multiLevelType w:val="hybridMultilevel"/>
    <w:tmpl w:val="F86E6038"/>
    <w:lvl w:ilvl="0" w:tplc="D6E00382">
      <w:start w:val="1"/>
      <w:numFmt w:val="lowerRoman"/>
      <w:lvlText w:val="(%1)"/>
      <w:lvlJc w:val="left"/>
      <w:pPr>
        <w:ind w:left="1080" w:hanging="720"/>
      </w:pPr>
      <w:rPr>
        <w:rFonts w:hint="default"/>
      </w:rPr>
    </w:lvl>
    <w:lvl w:ilvl="1" w:tplc="0054FA68" w:tentative="1">
      <w:start w:val="1"/>
      <w:numFmt w:val="lowerLetter"/>
      <w:lvlText w:val="%2."/>
      <w:lvlJc w:val="left"/>
      <w:pPr>
        <w:ind w:left="1440" w:hanging="360"/>
      </w:pPr>
    </w:lvl>
    <w:lvl w:ilvl="2" w:tplc="F5F8EA52" w:tentative="1">
      <w:start w:val="1"/>
      <w:numFmt w:val="lowerRoman"/>
      <w:lvlText w:val="%3."/>
      <w:lvlJc w:val="right"/>
      <w:pPr>
        <w:ind w:left="2160" w:hanging="180"/>
      </w:pPr>
    </w:lvl>
    <w:lvl w:ilvl="3" w:tplc="FC141D04" w:tentative="1">
      <w:start w:val="1"/>
      <w:numFmt w:val="decimal"/>
      <w:lvlText w:val="%4."/>
      <w:lvlJc w:val="left"/>
      <w:pPr>
        <w:ind w:left="2880" w:hanging="360"/>
      </w:pPr>
    </w:lvl>
    <w:lvl w:ilvl="4" w:tplc="7DBC21C2" w:tentative="1">
      <w:start w:val="1"/>
      <w:numFmt w:val="lowerLetter"/>
      <w:lvlText w:val="%5."/>
      <w:lvlJc w:val="left"/>
      <w:pPr>
        <w:ind w:left="3600" w:hanging="360"/>
      </w:pPr>
    </w:lvl>
    <w:lvl w:ilvl="5" w:tplc="51BAE756" w:tentative="1">
      <w:start w:val="1"/>
      <w:numFmt w:val="lowerRoman"/>
      <w:lvlText w:val="%6."/>
      <w:lvlJc w:val="right"/>
      <w:pPr>
        <w:ind w:left="4320" w:hanging="180"/>
      </w:pPr>
    </w:lvl>
    <w:lvl w:ilvl="6" w:tplc="84E2602A" w:tentative="1">
      <w:start w:val="1"/>
      <w:numFmt w:val="decimal"/>
      <w:lvlText w:val="%7."/>
      <w:lvlJc w:val="left"/>
      <w:pPr>
        <w:ind w:left="5040" w:hanging="360"/>
      </w:pPr>
    </w:lvl>
    <w:lvl w:ilvl="7" w:tplc="A14C4BE4" w:tentative="1">
      <w:start w:val="1"/>
      <w:numFmt w:val="lowerLetter"/>
      <w:lvlText w:val="%8."/>
      <w:lvlJc w:val="left"/>
      <w:pPr>
        <w:ind w:left="5760" w:hanging="360"/>
      </w:pPr>
    </w:lvl>
    <w:lvl w:ilvl="8" w:tplc="EC529F2C" w:tentative="1">
      <w:start w:val="1"/>
      <w:numFmt w:val="lowerRoman"/>
      <w:lvlText w:val="%9."/>
      <w:lvlJc w:val="right"/>
      <w:pPr>
        <w:ind w:left="6480" w:hanging="180"/>
      </w:pPr>
    </w:lvl>
  </w:abstractNum>
  <w:abstractNum w:abstractNumId="1">
    <w:nsid w:val="566D68DC"/>
    <w:multiLevelType w:val="hybridMultilevel"/>
    <w:tmpl w:val="F86E6038"/>
    <w:lvl w:ilvl="0" w:tplc="D6E00382">
      <w:start w:val="1"/>
      <w:numFmt w:val="lowerRoman"/>
      <w:lvlText w:val="(%1)"/>
      <w:lvlJc w:val="left"/>
      <w:pPr>
        <w:ind w:left="1080" w:hanging="720"/>
      </w:pPr>
      <w:rPr>
        <w:rFonts w:hint="default"/>
      </w:rPr>
    </w:lvl>
    <w:lvl w:ilvl="1" w:tplc="0054FA68" w:tentative="1">
      <w:start w:val="1"/>
      <w:numFmt w:val="lowerLetter"/>
      <w:lvlText w:val="%2."/>
      <w:lvlJc w:val="left"/>
      <w:pPr>
        <w:ind w:left="1440" w:hanging="360"/>
      </w:pPr>
    </w:lvl>
    <w:lvl w:ilvl="2" w:tplc="F5F8EA52" w:tentative="1">
      <w:start w:val="1"/>
      <w:numFmt w:val="lowerRoman"/>
      <w:lvlText w:val="%3."/>
      <w:lvlJc w:val="right"/>
      <w:pPr>
        <w:ind w:left="2160" w:hanging="180"/>
      </w:pPr>
    </w:lvl>
    <w:lvl w:ilvl="3" w:tplc="FC141D04" w:tentative="1">
      <w:start w:val="1"/>
      <w:numFmt w:val="decimal"/>
      <w:lvlText w:val="%4."/>
      <w:lvlJc w:val="left"/>
      <w:pPr>
        <w:ind w:left="2880" w:hanging="360"/>
      </w:pPr>
    </w:lvl>
    <w:lvl w:ilvl="4" w:tplc="7DBC21C2" w:tentative="1">
      <w:start w:val="1"/>
      <w:numFmt w:val="lowerLetter"/>
      <w:lvlText w:val="%5."/>
      <w:lvlJc w:val="left"/>
      <w:pPr>
        <w:ind w:left="3600" w:hanging="360"/>
      </w:pPr>
    </w:lvl>
    <w:lvl w:ilvl="5" w:tplc="51BAE756" w:tentative="1">
      <w:start w:val="1"/>
      <w:numFmt w:val="lowerRoman"/>
      <w:lvlText w:val="%6."/>
      <w:lvlJc w:val="right"/>
      <w:pPr>
        <w:ind w:left="4320" w:hanging="180"/>
      </w:pPr>
    </w:lvl>
    <w:lvl w:ilvl="6" w:tplc="84E2602A" w:tentative="1">
      <w:start w:val="1"/>
      <w:numFmt w:val="decimal"/>
      <w:lvlText w:val="%7."/>
      <w:lvlJc w:val="left"/>
      <w:pPr>
        <w:ind w:left="5040" w:hanging="360"/>
      </w:pPr>
    </w:lvl>
    <w:lvl w:ilvl="7" w:tplc="A14C4BE4" w:tentative="1">
      <w:start w:val="1"/>
      <w:numFmt w:val="lowerLetter"/>
      <w:lvlText w:val="%8."/>
      <w:lvlJc w:val="left"/>
      <w:pPr>
        <w:ind w:left="5760" w:hanging="360"/>
      </w:pPr>
    </w:lvl>
    <w:lvl w:ilvl="8" w:tplc="EC529F2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grammar="clean"/>
  <w:defaultTabStop w:val="720"/>
  <w:characterSpacingControl w:val="doNotCompress"/>
  <w:compat/>
  <w:rsids>
    <w:rsidRoot w:val="007C4F85"/>
    <w:rsid w:val="00204659"/>
    <w:rsid w:val="00417C92"/>
    <w:rsid w:val="004C57FC"/>
    <w:rsid w:val="004E6FD1"/>
    <w:rsid w:val="005818CB"/>
    <w:rsid w:val="0059415D"/>
    <w:rsid w:val="0061067E"/>
    <w:rsid w:val="007414F5"/>
    <w:rsid w:val="007C4F85"/>
    <w:rsid w:val="00821A88"/>
    <w:rsid w:val="00A637D1"/>
    <w:rsid w:val="00A93F38"/>
    <w:rsid w:val="00CC0865"/>
    <w:rsid w:val="00EF2438"/>
    <w:rsid w:val="00FC0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85"/>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F8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7C4F85"/>
    <w:pPr>
      <w:spacing w:after="0" w:line="240" w:lineRule="auto"/>
      <w:ind w:left="720"/>
      <w:contextualSpacing/>
    </w:pPr>
    <w:rPr>
      <w:rFonts w:ascii="Times New Roman" w:hAnsi="Times New Roman"/>
      <w:sz w:val="24"/>
      <w:szCs w:val="24"/>
    </w:rPr>
  </w:style>
  <w:style w:type="table" w:styleId="TableGrid">
    <w:name w:val="Table Grid"/>
    <w:basedOn w:val="TableNormal"/>
    <w:uiPriority w:val="59"/>
    <w:rsid w:val="00821A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818CB"/>
    <w:rPr>
      <w:color w:val="0000FF"/>
      <w:u w:val="single"/>
    </w:rPr>
  </w:style>
</w:styles>
</file>

<file path=word/webSettings.xml><?xml version="1.0" encoding="utf-8"?>
<w:webSettings xmlns:r="http://schemas.openxmlformats.org/officeDocument/2006/relationships" xmlns:w="http://schemas.openxmlformats.org/wordprocessingml/2006/main">
  <w:divs>
    <w:div w:id="152840635">
      <w:bodyDiv w:val="1"/>
      <w:marLeft w:val="0"/>
      <w:marRight w:val="0"/>
      <w:marTop w:val="0"/>
      <w:marBottom w:val="0"/>
      <w:divBdr>
        <w:top w:val="none" w:sz="0" w:space="0" w:color="auto"/>
        <w:left w:val="none" w:sz="0" w:space="0" w:color="auto"/>
        <w:bottom w:val="none" w:sz="0" w:space="0" w:color="auto"/>
        <w:right w:val="none" w:sz="0" w:space="0" w:color="auto"/>
      </w:divBdr>
    </w:div>
    <w:div w:id="8194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2023-03-27T10:33:00Z</dcterms:created>
  <dcterms:modified xsi:type="dcterms:W3CDTF">2023-03-31T06:47:00Z</dcterms:modified>
</cp:coreProperties>
</file>