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CD" w:rsidRPr="00070CC4" w:rsidRDefault="008F20CD" w:rsidP="00070CC4">
      <w:pPr>
        <w:spacing w:after="0" w:line="360" w:lineRule="auto"/>
        <w:jc w:val="center"/>
        <w:rPr>
          <w:rFonts w:eastAsia="Times New Roman"/>
          <w:b/>
          <w:bCs/>
          <w:color w:val="0E101A"/>
          <w:szCs w:val="24"/>
          <w:lang w:val="en-US"/>
        </w:rPr>
      </w:pPr>
      <w:r w:rsidRPr="00070CC4">
        <w:rPr>
          <w:rFonts w:eastAsia="Times New Roman"/>
          <w:b/>
          <w:bCs/>
          <w:color w:val="0E101A"/>
          <w:szCs w:val="24"/>
          <w:lang w:val="en-US"/>
        </w:rPr>
        <w:t>Corporate &amp; Information Technology Law</w:t>
      </w:r>
    </w:p>
    <w:p w:rsidR="00DB353B" w:rsidRPr="009E5913" w:rsidRDefault="00DB353B" w:rsidP="00DB353B">
      <w:pPr>
        <w:jc w:val="center"/>
        <w:rPr>
          <w:b/>
          <w:szCs w:val="24"/>
        </w:rPr>
      </w:pPr>
      <w:r>
        <w:rPr>
          <w:b/>
          <w:szCs w:val="24"/>
        </w:rPr>
        <w:t>December</w:t>
      </w:r>
      <w:r w:rsidRPr="009E5913">
        <w:rPr>
          <w:b/>
          <w:szCs w:val="24"/>
        </w:rPr>
        <w:t xml:space="preserve"> 2022 Examination</w:t>
      </w:r>
    </w:p>
    <w:p w:rsidR="003E7277" w:rsidRPr="00070CC4" w:rsidRDefault="003E7277" w:rsidP="00070CC4">
      <w:pPr>
        <w:spacing w:after="0" w:line="360" w:lineRule="auto"/>
        <w:rPr>
          <w:rFonts w:eastAsia="Times New Roman"/>
          <w:b/>
          <w:bCs/>
          <w:color w:val="0E101A"/>
          <w:szCs w:val="24"/>
          <w:lang w:val="en-US"/>
        </w:rPr>
      </w:pPr>
    </w:p>
    <w:p w:rsidR="00070CC4" w:rsidRPr="00070CC4" w:rsidRDefault="00070CC4" w:rsidP="00070CC4">
      <w:pPr>
        <w:spacing w:after="0" w:line="360" w:lineRule="auto"/>
        <w:rPr>
          <w:rFonts w:eastAsia="Times New Roman"/>
          <w:b/>
          <w:bCs/>
          <w:color w:val="0E101A"/>
          <w:szCs w:val="24"/>
          <w:lang w:val="en-US"/>
        </w:rPr>
      </w:pPr>
    </w:p>
    <w:p w:rsidR="00070CC4" w:rsidRPr="00070CC4" w:rsidRDefault="00070CC4" w:rsidP="00070CC4">
      <w:pPr>
        <w:spacing w:after="0" w:line="360" w:lineRule="auto"/>
        <w:rPr>
          <w:rFonts w:eastAsia="Times New Roman"/>
          <w:b/>
          <w:bCs/>
          <w:color w:val="0E101A"/>
          <w:szCs w:val="24"/>
          <w:lang w:val="en-US"/>
        </w:rPr>
      </w:pPr>
    </w:p>
    <w:p w:rsidR="008F20CD" w:rsidRPr="00070CC4" w:rsidRDefault="008F20CD" w:rsidP="00070CC4">
      <w:pPr>
        <w:spacing w:after="0" w:line="360" w:lineRule="auto"/>
        <w:rPr>
          <w:rFonts w:eastAsia="Times New Roman"/>
          <w:b/>
          <w:bCs/>
          <w:color w:val="0E101A"/>
          <w:szCs w:val="24"/>
        </w:rPr>
      </w:pPr>
      <w:r w:rsidRPr="00070CC4">
        <w:rPr>
          <w:rFonts w:eastAsia="Times New Roman"/>
          <w:b/>
          <w:color w:val="0E101A"/>
          <w:szCs w:val="24"/>
        </w:rPr>
        <w:t>1. The mischief of “insider trading” is invariably present in the present in every organization. Discuss this concept and identify practical methods to curb the same”</w:t>
      </w:r>
      <w:r w:rsidRPr="00070CC4">
        <w:rPr>
          <w:rFonts w:eastAsia="Times New Roman"/>
          <w:color w:val="0E101A"/>
          <w:szCs w:val="24"/>
        </w:rPr>
        <w:t> </w:t>
      </w:r>
      <w:r w:rsidRPr="00070CC4">
        <w:rPr>
          <w:rFonts w:eastAsia="Times New Roman"/>
          <w:b/>
          <w:bCs/>
          <w:color w:val="0E101A"/>
          <w:szCs w:val="24"/>
        </w:rPr>
        <w:t xml:space="preserve">(10 Marks) </w:t>
      </w:r>
    </w:p>
    <w:p w:rsidR="00DB353B" w:rsidRDefault="00DB353B" w:rsidP="00070CC4">
      <w:pPr>
        <w:spacing w:after="0" w:line="360" w:lineRule="auto"/>
        <w:rPr>
          <w:rFonts w:eastAsia="Times New Roman"/>
          <w:color w:val="0E101A"/>
          <w:szCs w:val="24"/>
          <w:lang w:val="en-US"/>
        </w:rPr>
      </w:pPr>
    </w:p>
    <w:p w:rsidR="00DB353B" w:rsidRPr="00DB353B" w:rsidRDefault="00DB353B" w:rsidP="00070CC4">
      <w:pPr>
        <w:spacing w:after="0" w:line="360" w:lineRule="auto"/>
        <w:rPr>
          <w:rFonts w:eastAsia="Times New Roman"/>
          <w:b/>
          <w:bCs/>
          <w:color w:val="0E101A"/>
          <w:szCs w:val="24"/>
          <w:lang w:val="en-US"/>
        </w:rPr>
      </w:pPr>
      <w:proofErr w:type="gramStart"/>
      <w:r w:rsidRPr="00DB353B">
        <w:rPr>
          <w:rFonts w:eastAsia="Times New Roman"/>
          <w:b/>
          <w:color w:val="0E101A"/>
          <w:szCs w:val="24"/>
          <w:lang w:val="en-US"/>
        </w:rPr>
        <w:t>Ans 1.</w:t>
      </w:r>
      <w:proofErr w:type="gramEnd"/>
    </w:p>
    <w:p w:rsidR="00D351D1" w:rsidRPr="00DB353B" w:rsidRDefault="008F20CD" w:rsidP="00070CC4">
      <w:pPr>
        <w:spacing w:after="0" w:line="360" w:lineRule="auto"/>
        <w:rPr>
          <w:rFonts w:eastAsia="Times New Roman"/>
          <w:b/>
          <w:bCs/>
          <w:color w:val="0E101A"/>
          <w:szCs w:val="24"/>
          <w:lang w:val="en-US"/>
        </w:rPr>
      </w:pPr>
      <w:r w:rsidRPr="00DB353B">
        <w:rPr>
          <w:rFonts w:eastAsia="Times New Roman"/>
          <w:b/>
          <w:bCs/>
          <w:color w:val="0E101A"/>
          <w:szCs w:val="24"/>
          <w:lang w:val="en-US"/>
        </w:rPr>
        <w:t>Introduction:</w:t>
      </w:r>
    </w:p>
    <w:p w:rsidR="00D351D1" w:rsidRPr="00070CC4" w:rsidRDefault="00D351D1" w:rsidP="002D3E37">
      <w:pPr>
        <w:spacing w:after="0" w:line="360" w:lineRule="auto"/>
        <w:rPr>
          <w:rFonts w:eastAsia="Times New Roman"/>
          <w:color w:val="0E101A"/>
          <w:szCs w:val="24"/>
          <w:lang w:eastAsia="en-IN"/>
        </w:rPr>
      </w:pPr>
      <w:r w:rsidRPr="00070CC4">
        <w:rPr>
          <w:rFonts w:eastAsia="Times New Roman"/>
          <w:color w:val="0E101A"/>
          <w:szCs w:val="24"/>
          <w:lang w:eastAsia="en-IN"/>
        </w:rPr>
        <w:t xml:space="preserve">An insider is a person who has access to valuable non-public information concerning a company or ownership of shares worth more significant than 10% of the company's resources. Insiders are lawfully permitted to buy and sell shares of companies and the associates that employ them. Nonetheless, these transactions must be suitably registered with the Securities and Exchange Compensation (SEC) and Wage pre-filing. You can locate this sort of insider trading information in the SEC's EDGAR database. Lawful insider trading often occurs, such as when a chief executive officer redeems shares of their company. Or </w:t>
      </w:r>
    </w:p>
    <w:p w:rsidR="007F1761" w:rsidRDefault="007F1761" w:rsidP="007F1761">
      <w:pPr>
        <w:shd w:val="clear" w:color="auto" w:fill="FFFFFF"/>
        <w:spacing w:after="240"/>
        <w:rPr>
          <w:sz w:val="27"/>
          <w:szCs w:val="27"/>
        </w:rPr>
      </w:pPr>
      <w:r>
        <w:rPr>
          <w:rFonts w:ascii="Georgia" w:hAnsi="Georgia"/>
          <w:sz w:val="33"/>
          <w:szCs w:val="33"/>
          <w:highlight w:val="red"/>
          <w:shd w:val="clear" w:color="auto" w:fill="FFFF00"/>
        </w:rPr>
        <w:t>It is only half solved</w:t>
      </w:r>
    </w:p>
    <w:p w:rsidR="007F1761" w:rsidRDefault="007F1761" w:rsidP="007F1761">
      <w:pPr>
        <w:shd w:val="clear" w:color="auto" w:fill="FFFFFF"/>
        <w:spacing w:after="0" w:line="360" w:lineRule="auto"/>
        <w:jc w:val="center"/>
        <w:rPr>
          <w:rFonts w:ascii="Georgia" w:hAnsi="Georgia" w:cs="Calibri"/>
          <w:color w:val="222222"/>
          <w:sz w:val="33"/>
          <w:szCs w:val="33"/>
          <w:shd w:val="clear" w:color="auto" w:fill="FFFF00"/>
        </w:rPr>
      </w:pPr>
    </w:p>
    <w:p w:rsidR="007F1761" w:rsidRDefault="007F1761" w:rsidP="007F1761">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7F1761" w:rsidRDefault="007F1761" w:rsidP="007F1761">
      <w:pPr>
        <w:shd w:val="clear" w:color="auto" w:fill="FFFFFF"/>
        <w:spacing w:after="0" w:line="360" w:lineRule="auto"/>
        <w:jc w:val="center"/>
        <w:rPr>
          <w:rFonts w:cs="Calibri"/>
          <w:color w:val="222222"/>
        </w:rPr>
      </w:pPr>
    </w:p>
    <w:p w:rsidR="007F1761" w:rsidRDefault="007F1761" w:rsidP="007F1761">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7F1761" w:rsidRDefault="007F1761" w:rsidP="007F1761">
      <w:pPr>
        <w:shd w:val="clear" w:color="auto" w:fill="FFFFFF"/>
        <w:spacing w:after="0" w:line="360" w:lineRule="auto"/>
        <w:jc w:val="center"/>
        <w:rPr>
          <w:rFonts w:cs="Calibri"/>
          <w:color w:val="222222"/>
        </w:rPr>
      </w:pPr>
    </w:p>
    <w:p w:rsidR="007F1761" w:rsidRDefault="007F1761" w:rsidP="007F176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7F1761" w:rsidRDefault="007F1761" w:rsidP="007F1761">
      <w:pPr>
        <w:shd w:val="clear" w:color="auto" w:fill="FFFFFF"/>
        <w:spacing w:after="0" w:line="360" w:lineRule="auto"/>
        <w:jc w:val="center"/>
        <w:rPr>
          <w:rFonts w:ascii="Arial" w:hAnsi="Arial" w:cs="Calibri"/>
          <w:color w:val="222222"/>
        </w:rPr>
      </w:pPr>
    </w:p>
    <w:p w:rsidR="007F1761" w:rsidRDefault="007F1761" w:rsidP="007F176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7F1761" w:rsidRDefault="007F1761" w:rsidP="007F1761">
      <w:pPr>
        <w:shd w:val="clear" w:color="auto" w:fill="FFFFFF"/>
        <w:spacing w:after="0" w:line="360" w:lineRule="auto"/>
        <w:jc w:val="center"/>
        <w:rPr>
          <w:rFonts w:ascii="Georgia" w:hAnsi="Georgia" w:cs="Calibri"/>
          <w:color w:val="500050"/>
          <w:sz w:val="33"/>
          <w:szCs w:val="33"/>
        </w:rPr>
      </w:pPr>
    </w:p>
    <w:p w:rsidR="007F1761" w:rsidRDefault="007F1761" w:rsidP="007F1761">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7F1761" w:rsidRDefault="007F1761" w:rsidP="007F176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lastRenderedPageBreak/>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7F1761" w:rsidRDefault="007F1761" w:rsidP="007F1761">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7F1761" w:rsidRDefault="007F1761" w:rsidP="007F1761">
      <w:pPr>
        <w:shd w:val="clear" w:color="auto" w:fill="FFFFFF"/>
        <w:spacing w:after="0" w:line="360" w:lineRule="auto"/>
        <w:jc w:val="center"/>
        <w:rPr>
          <w:rFonts w:cs="Calibri"/>
          <w:color w:val="500050"/>
        </w:rPr>
      </w:pPr>
    </w:p>
    <w:p w:rsidR="007F1761" w:rsidRDefault="007F1761" w:rsidP="007F1761">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7F1761" w:rsidRDefault="007F1761" w:rsidP="007F176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7F1761" w:rsidRDefault="007F1761" w:rsidP="007F176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7F1761" w:rsidRDefault="007F1761" w:rsidP="007F176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7F1761" w:rsidRDefault="007F1761" w:rsidP="007F176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7F1761" w:rsidRDefault="007F1761" w:rsidP="007F176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8F0EDB" w:rsidRPr="00070CC4" w:rsidRDefault="008F0EDB" w:rsidP="00070CC4">
      <w:pPr>
        <w:spacing w:line="360" w:lineRule="auto"/>
        <w:rPr>
          <w:szCs w:val="24"/>
        </w:rPr>
      </w:pPr>
    </w:p>
    <w:p w:rsidR="008F0EDB" w:rsidRPr="00070CC4" w:rsidRDefault="008F0EDB" w:rsidP="00070CC4">
      <w:pPr>
        <w:spacing w:line="360" w:lineRule="auto"/>
        <w:rPr>
          <w:b/>
          <w:szCs w:val="24"/>
        </w:rPr>
      </w:pPr>
    </w:p>
    <w:p w:rsidR="008F0EDB" w:rsidRPr="00070CC4" w:rsidRDefault="008F0EDB" w:rsidP="00070CC4">
      <w:pPr>
        <w:spacing w:after="0" w:line="360" w:lineRule="auto"/>
        <w:rPr>
          <w:rFonts w:eastAsia="Times New Roman"/>
          <w:color w:val="0E101A"/>
          <w:szCs w:val="24"/>
        </w:rPr>
      </w:pPr>
      <w:r w:rsidRPr="00070CC4">
        <w:rPr>
          <w:rFonts w:eastAsia="Times New Roman"/>
          <w:b/>
          <w:color w:val="0E101A"/>
          <w:szCs w:val="24"/>
        </w:rPr>
        <w:t>2. Information Technology Laws provide legal recognition to offences in cyberspace. Discuss its relation to the Indian Penal Code and how both can work parallel to each other.</w:t>
      </w:r>
      <w:r w:rsidRPr="00070CC4">
        <w:rPr>
          <w:rFonts w:eastAsia="Times New Roman"/>
          <w:color w:val="0E101A"/>
          <w:szCs w:val="24"/>
        </w:rPr>
        <w:t> </w:t>
      </w:r>
      <w:r w:rsidRPr="00070CC4">
        <w:rPr>
          <w:rFonts w:eastAsia="Times New Roman"/>
          <w:b/>
          <w:bCs/>
          <w:color w:val="0E101A"/>
          <w:szCs w:val="24"/>
        </w:rPr>
        <w:t>(10 Marks)</w:t>
      </w:r>
    </w:p>
    <w:p w:rsidR="008F0EDB" w:rsidRPr="00070CC4" w:rsidRDefault="008F0EDB" w:rsidP="00070CC4">
      <w:pPr>
        <w:spacing w:after="0" w:line="360" w:lineRule="auto"/>
        <w:rPr>
          <w:rFonts w:eastAsia="Times New Roman"/>
          <w:b/>
          <w:bCs/>
          <w:color w:val="0E101A"/>
          <w:szCs w:val="24"/>
          <w:lang w:val="en-US"/>
        </w:rPr>
      </w:pPr>
    </w:p>
    <w:p w:rsidR="00DB353B" w:rsidRDefault="00DB353B" w:rsidP="00070CC4">
      <w:pPr>
        <w:spacing w:after="0" w:line="360" w:lineRule="auto"/>
        <w:rPr>
          <w:rFonts w:eastAsia="Times New Roman"/>
          <w:b/>
          <w:bCs/>
          <w:color w:val="0E101A"/>
          <w:szCs w:val="24"/>
          <w:lang w:val="en-US"/>
        </w:rPr>
      </w:pPr>
      <w:proofErr w:type="gramStart"/>
      <w:r>
        <w:rPr>
          <w:rFonts w:eastAsia="Times New Roman"/>
          <w:b/>
          <w:bCs/>
          <w:color w:val="0E101A"/>
          <w:szCs w:val="24"/>
          <w:lang w:val="en-US"/>
        </w:rPr>
        <w:t>Ans 2.</w:t>
      </w:r>
      <w:proofErr w:type="gramEnd"/>
    </w:p>
    <w:p w:rsidR="008F0EDB" w:rsidRPr="00DB353B" w:rsidRDefault="008F0EDB" w:rsidP="00070CC4">
      <w:pPr>
        <w:spacing w:after="0" w:line="360" w:lineRule="auto"/>
        <w:rPr>
          <w:rFonts w:eastAsia="Times New Roman"/>
          <w:color w:val="0E101A"/>
          <w:szCs w:val="24"/>
          <w:lang w:val="en-US"/>
        </w:rPr>
      </w:pPr>
      <w:r w:rsidRPr="00070CC4">
        <w:rPr>
          <w:rFonts w:eastAsia="Times New Roman"/>
          <w:b/>
          <w:bCs/>
          <w:color w:val="0E101A"/>
          <w:szCs w:val="24"/>
          <w:lang w:val="en-US"/>
        </w:rPr>
        <w:t>Introduction:</w:t>
      </w:r>
    </w:p>
    <w:p w:rsidR="008F0EDB" w:rsidRPr="00070CC4" w:rsidRDefault="008F0EDB" w:rsidP="002D3E37">
      <w:pPr>
        <w:spacing w:after="0" w:line="360" w:lineRule="auto"/>
        <w:rPr>
          <w:rFonts w:eastAsia="Times New Roman"/>
          <w:color w:val="0E101A"/>
          <w:szCs w:val="24"/>
          <w:lang w:eastAsia="en-IN"/>
        </w:rPr>
      </w:pPr>
      <w:r w:rsidRPr="00070CC4">
        <w:rPr>
          <w:rFonts w:eastAsia="Times New Roman"/>
          <w:color w:val="0E101A"/>
          <w:szCs w:val="24"/>
          <w:lang w:eastAsia="en-IN"/>
        </w:rPr>
        <w:t xml:space="preserve">Information technology law is a legal system of the Internet, computer systems, cyberspace, and anything about cyberspace or infotech. Cyberspace law covers a wide variety of subjects, consisting of contract law, privacy law, and intellectual property law. It guides the digital circulation of software, data and information security, and electronic commerce. Digital documents are legally identified under cyber laws. The system likewise supplies a structure for e-commerce transactions and digital declaring. As shopping has expanded in appeal, it is </w:t>
      </w:r>
    </w:p>
    <w:p w:rsidR="00D351D1" w:rsidRDefault="00D351D1" w:rsidP="00070CC4">
      <w:pPr>
        <w:spacing w:after="0" w:line="360" w:lineRule="auto"/>
        <w:rPr>
          <w:szCs w:val="24"/>
        </w:rPr>
      </w:pPr>
    </w:p>
    <w:p w:rsidR="002D3E37" w:rsidRPr="00070CC4" w:rsidRDefault="002D3E37" w:rsidP="00070CC4">
      <w:pPr>
        <w:spacing w:after="0" w:line="360" w:lineRule="auto"/>
        <w:rPr>
          <w:rFonts w:eastAsia="Times New Roman"/>
          <w:color w:val="0E101A"/>
          <w:szCs w:val="24"/>
          <w:lang w:val="en-US"/>
        </w:rPr>
      </w:pPr>
    </w:p>
    <w:p w:rsidR="00D351D1" w:rsidRPr="00070CC4" w:rsidRDefault="00D351D1" w:rsidP="00070CC4">
      <w:pPr>
        <w:spacing w:after="0" w:line="360" w:lineRule="auto"/>
        <w:rPr>
          <w:rFonts w:eastAsia="Times New Roman"/>
          <w:b/>
          <w:color w:val="0E101A"/>
          <w:szCs w:val="24"/>
        </w:rPr>
      </w:pPr>
      <w:r w:rsidRPr="00070CC4">
        <w:rPr>
          <w:rFonts w:eastAsia="Times New Roman"/>
          <w:b/>
          <w:color w:val="0E101A"/>
          <w:szCs w:val="24"/>
        </w:rPr>
        <w:lastRenderedPageBreak/>
        <w:t>3. Imagine you have an investment proposal from various investors. Different investors prefer different types of security. However, the majority of them prefer to get Convertible Debentures against the money they are willing to invest. </w:t>
      </w:r>
    </w:p>
    <w:p w:rsidR="00D351D1" w:rsidRPr="00070CC4" w:rsidRDefault="00D351D1" w:rsidP="00070CC4">
      <w:pPr>
        <w:spacing w:after="0" w:line="360" w:lineRule="auto"/>
        <w:rPr>
          <w:rFonts w:eastAsia="Times New Roman"/>
          <w:b/>
          <w:color w:val="0E101A"/>
          <w:szCs w:val="24"/>
          <w:lang w:val="en-US"/>
        </w:rPr>
      </w:pPr>
    </w:p>
    <w:p w:rsidR="00D351D1" w:rsidRPr="002D3E37" w:rsidRDefault="00D351D1" w:rsidP="00070CC4">
      <w:pPr>
        <w:spacing w:after="0" w:line="360" w:lineRule="auto"/>
        <w:rPr>
          <w:rFonts w:eastAsia="Times New Roman"/>
          <w:color w:val="0E101A"/>
          <w:szCs w:val="24"/>
        </w:rPr>
      </w:pPr>
      <w:r w:rsidRPr="00070CC4">
        <w:rPr>
          <w:rFonts w:eastAsia="Times New Roman"/>
          <w:b/>
          <w:color w:val="0E101A"/>
          <w:szCs w:val="24"/>
        </w:rPr>
        <w:t>a. List at least five benefits of issuing convertible debentures compared to other securities. Explain each of the benefits in at two sentences.</w:t>
      </w:r>
      <w:r w:rsidRPr="00070CC4">
        <w:rPr>
          <w:rFonts w:eastAsia="Times New Roman"/>
          <w:color w:val="0E101A"/>
          <w:szCs w:val="24"/>
        </w:rPr>
        <w:t> </w:t>
      </w:r>
      <w:r w:rsidRPr="00070CC4">
        <w:rPr>
          <w:rFonts w:eastAsia="Times New Roman"/>
          <w:b/>
          <w:bCs/>
          <w:color w:val="0E101A"/>
          <w:szCs w:val="24"/>
        </w:rPr>
        <w:t xml:space="preserve">(5 Marks) </w:t>
      </w:r>
    </w:p>
    <w:p w:rsidR="00DB353B" w:rsidRDefault="00DB353B" w:rsidP="00070CC4">
      <w:pPr>
        <w:spacing w:after="0" w:line="360" w:lineRule="auto"/>
        <w:rPr>
          <w:rFonts w:eastAsia="Times New Roman"/>
          <w:b/>
          <w:bCs/>
          <w:color w:val="0E101A"/>
          <w:szCs w:val="24"/>
          <w:lang w:val="en-US"/>
        </w:rPr>
      </w:pPr>
      <w:proofErr w:type="gramStart"/>
      <w:r>
        <w:rPr>
          <w:rFonts w:eastAsia="Times New Roman"/>
          <w:b/>
          <w:bCs/>
          <w:color w:val="0E101A"/>
          <w:szCs w:val="24"/>
          <w:lang w:val="en-US"/>
        </w:rPr>
        <w:t>Ans 3a.</w:t>
      </w:r>
      <w:proofErr w:type="gramEnd"/>
    </w:p>
    <w:p w:rsidR="00D351D1" w:rsidRPr="00070CC4" w:rsidRDefault="00D351D1" w:rsidP="00070CC4">
      <w:pPr>
        <w:spacing w:after="0" w:line="360" w:lineRule="auto"/>
        <w:rPr>
          <w:rFonts w:eastAsia="Times New Roman"/>
          <w:color w:val="0E101A"/>
          <w:szCs w:val="24"/>
          <w:lang w:val="en-US"/>
        </w:rPr>
      </w:pPr>
      <w:r w:rsidRPr="00070CC4">
        <w:rPr>
          <w:rFonts w:eastAsia="Times New Roman"/>
          <w:b/>
          <w:bCs/>
          <w:color w:val="0E101A"/>
          <w:szCs w:val="24"/>
          <w:lang w:val="en-US"/>
        </w:rPr>
        <w:t>Introduction:</w:t>
      </w:r>
    </w:p>
    <w:p w:rsidR="00AF5A60" w:rsidRPr="00070CC4" w:rsidRDefault="00AF5A60" w:rsidP="002D3E37">
      <w:pPr>
        <w:spacing w:after="0" w:line="360" w:lineRule="auto"/>
        <w:rPr>
          <w:rFonts w:eastAsia="Times New Roman"/>
          <w:color w:val="0E101A"/>
          <w:szCs w:val="24"/>
          <w:lang w:eastAsia="en-IN"/>
        </w:rPr>
      </w:pPr>
      <w:r w:rsidRPr="00070CC4">
        <w:rPr>
          <w:rFonts w:eastAsia="Times New Roman"/>
          <w:color w:val="0E101A"/>
          <w:szCs w:val="24"/>
          <w:lang w:eastAsia="en-IN"/>
        </w:rPr>
        <w:t xml:space="preserve">The definition of convertible bonds can be referred to as lasting debt instruments of the company and can become exchanged equity shares mainly. The decision to convert the debentures into equity shares rests with the shareholders and considers a lender or lending institution. In some cases, the company </w:t>
      </w:r>
    </w:p>
    <w:p w:rsidR="00AF5A60" w:rsidRPr="00070CC4" w:rsidRDefault="00AF5A60" w:rsidP="00070CC4">
      <w:pPr>
        <w:spacing w:after="0" w:line="360" w:lineRule="auto"/>
        <w:rPr>
          <w:rFonts w:eastAsia="Times New Roman"/>
          <w:color w:val="0E101A"/>
          <w:szCs w:val="24"/>
          <w:lang w:eastAsia="en-IN"/>
        </w:rPr>
      </w:pPr>
    </w:p>
    <w:p w:rsidR="00AF5A60" w:rsidRPr="00070CC4" w:rsidRDefault="00AF5A60" w:rsidP="00070CC4">
      <w:pPr>
        <w:spacing w:after="0" w:line="360" w:lineRule="auto"/>
        <w:rPr>
          <w:szCs w:val="24"/>
        </w:rPr>
      </w:pPr>
    </w:p>
    <w:p w:rsidR="00AF5A60" w:rsidRPr="00070CC4" w:rsidRDefault="00AF5A60" w:rsidP="00070CC4">
      <w:pPr>
        <w:spacing w:after="0" w:line="360" w:lineRule="auto"/>
        <w:rPr>
          <w:rFonts w:eastAsia="Times New Roman"/>
          <w:color w:val="0E101A"/>
          <w:szCs w:val="24"/>
        </w:rPr>
      </w:pPr>
      <w:r w:rsidRPr="00070CC4">
        <w:rPr>
          <w:b/>
          <w:szCs w:val="24"/>
        </w:rPr>
        <w:t xml:space="preserve">b. </w:t>
      </w:r>
      <w:r w:rsidRPr="00070CC4">
        <w:rPr>
          <w:rFonts w:eastAsia="Times New Roman"/>
          <w:b/>
          <w:color w:val="0E101A"/>
          <w:szCs w:val="24"/>
        </w:rPr>
        <w:t>List at least five disadvantages of issuing convertible debentures compared to other securities. Explain each of the disadvantages in at two sentences.</w:t>
      </w:r>
      <w:r w:rsidRPr="00070CC4">
        <w:rPr>
          <w:rFonts w:eastAsia="Times New Roman"/>
          <w:color w:val="0E101A"/>
          <w:szCs w:val="24"/>
        </w:rPr>
        <w:t> </w:t>
      </w:r>
      <w:r w:rsidRPr="00070CC4">
        <w:rPr>
          <w:rFonts w:eastAsia="Times New Roman"/>
          <w:b/>
          <w:bCs/>
          <w:color w:val="0E101A"/>
          <w:szCs w:val="24"/>
        </w:rPr>
        <w:t xml:space="preserve">(5 Marks) </w:t>
      </w:r>
    </w:p>
    <w:p w:rsidR="00AF5A60" w:rsidRPr="00070CC4" w:rsidRDefault="00AF5A60" w:rsidP="00070CC4">
      <w:pPr>
        <w:spacing w:after="0" w:line="360" w:lineRule="auto"/>
        <w:rPr>
          <w:rFonts w:eastAsia="Times New Roman"/>
          <w:b/>
          <w:bCs/>
          <w:color w:val="0E101A"/>
          <w:szCs w:val="24"/>
          <w:lang w:val="en-US"/>
        </w:rPr>
      </w:pPr>
    </w:p>
    <w:p w:rsidR="00DB353B" w:rsidRDefault="00DB353B" w:rsidP="00070CC4">
      <w:pPr>
        <w:spacing w:after="0" w:line="360" w:lineRule="auto"/>
        <w:rPr>
          <w:rFonts w:eastAsia="Times New Roman"/>
          <w:b/>
          <w:bCs/>
          <w:color w:val="0E101A"/>
          <w:szCs w:val="24"/>
          <w:lang w:val="en-US"/>
        </w:rPr>
      </w:pPr>
      <w:r>
        <w:rPr>
          <w:rFonts w:eastAsia="Times New Roman"/>
          <w:b/>
          <w:bCs/>
          <w:color w:val="0E101A"/>
          <w:szCs w:val="24"/>
          <w:lang w:val="en-US"/>
        </w:rPr>
        <w:t>Ans 3b.</w:t>
      </w:r>
    </w:p>
    <w:p w:rsidR="00AF5A60" w:rsidRPr="002D3E37" w:rsidRDefault="00AF5A60" w:rsidP="00070CC4">
      <w:pPr>
        <w:spacing w:after="0" w:line="360" w:lineRule="auto"/>
        <w:rPr>
          <w:rFonts w:eastAsia="Times New Roman"/>
          <w:color w:val="0E101A"/>
          <w:szCs w:val="24"/>
          <w:lang w:val="en-US"/>
        </w:rPr>
      </w:pPr>
      <w:r w:rsidRPr="00070CC4">
        <w:rPr>
          <w:rFonts w:eastAsia="Times New Roman"/>
          <w:b/>
          <w:bCs/>
          <w:color w:val="0E101A"/>
          <w:szCs w:val="24"/>
          <w:lang w:val="en-US"/>
        </w:rPr>
        <w:t>Introduction:</w:t>
      </w:r>
    </w:p>
    <w:p w:rsidR="00AF5A60" w:rsidRPr="00070CC4" w:rsidRDefault="00AF5A60" w:rsidP="002D3E37">
      <w:pPr>
        <w:spacing w:after="0" w:line="360" w:lineRule="auto"/>
        <w:rPr>
          <w:rFonts w:eastAsia="Times New Roman"/>
          <w:color w:val="0E101A"/>
          <w:szCs w:val="24"/>
          <w:lang w:eastAsia="en-IN"/>
        </w:rPr>
      </w:pPr>
      <w:r w:rsidRPr="00070CC4">
        <w:rPr>
          <w:rFonts w:eastAsia="Times New Roman"/>
          <w:color w:val="0E101A"/>
          <w:szCs w:val="24"/>
          <w:lang w:eastAsia="en-IN"/>
        </w:rPr>
        <w:t xml:space="preserve">A convertible bond is a debt instrument that gives investors the right or commitment to trade the bond for a pre-determined number of shares in the providing company over the bond's life. It is a hybrid security that has the functions </w:t>
      </w:r>
    </w:p>
    <w:p w:rsidR="00AF5A60" w:rsidRPr="00070CC4" w:rsidRDefault="00AF5A60" w:rsidP="00070CC4">
      <w:pPr>
        <w:spacing w:line="360" w:lineRule="auto"/>
        <w:rPr>
          <w:szCs w:val="24"/>
        </w:rPr>
      </w:pPr>
    </w:p>
    <w:sectPr w:rsidR="00AF5A60" w:rsidRPr="00070CC4"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3503"/>
    <w:multiLevelType w:val="hybridMultilevel"/>
    <w:tmpl w:val="474ED432"/>
    <w:lvl w:ilvl="0" w:tplc="6EECDB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27D77"/>
    <w:multiLevelType w:val="multilevel"/>
    <w:tmpl w:val="4572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636805"/>
    <w:multiLevelType w:val="hybridMultilevel"/>
    <w:tmpl w:val="5B6215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34FF3"/>
    <w:multiLevelType w:val="multilevel"/>
    <w:tmpl w:val="E0F0EA3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6C247E45"/>
    <w:multiLevelType w:val="hybridMultilevel"/>
    <w:tmpl w:val="D2FC8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E6B5DAB"/>
    <w:multiLevelType w:val="multilevel"/>
    <w:tmpl w:val="637C1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docVars>
    <w:docVar w:name="__Grammarly_42____i" w:val="H4sIAAAAAAAEAKtWckksSQxILCpxzi/NK1GyMqwFAAEhoTITAAAA"/>
    <w:docVar w:name="__Grammarly_42___1" w:val="H4sIAAAAAAAEAKtWcslP9kxRslIyNDY2sDQ2sTQ1MDGytDA2MzRS0lEKTi0uzszPAykwrAUAuMXF+iwAAAA="/>
  </w:docVars>
  <w:rsids>
    <w:rsidRoot w:val="008F20CD"/>
    <w:rsid w:val="00070CC4"/>
    <w:rsid w:val="001045B6"/>
    <w:rsid w:val="002A1130"/>
    <w:rsid w:val="002A5F0F"/>
    <w:rsid w:val="002D3E37"/>
    <w:rsid w:val="002F17AA"/>
    <w:rsid w:val="003E7277"/>
    <w:rsid w:val="00474C3C"/>
    <w:rsid w:val="005108C6"/>
    <w:rsid w:val="00697FA9"/>
    <w:rsid w:val="007220E0"/>
    <w:rsid w:val="007F1761"/>
    <w:rsid w:val="008F0EDB"/>
    <w:rsid w:val="008F20CD"/>
    <w:rsid w:val="009335BC"/>
    <w:rsid w:val="00970EFD"/>
    <w:rsid w:val="00A31A0D"/>
    <w:rsid w:val="00AA7BB7"/>
    <w:rsid w:val="00AF5A60"/>
    <w:rsid w:val="00B34920"/>
    <w:rsid w:val="00C70441"/>
    <w:rsid w:val="00D351D1"/>
    <w:rsid w:val="00DB353B"/>
    <w:rsid w:val="00DE40C7"/>
    <w:rsid w:val="00E57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CD"/>
    <w:pPr>
      <w:spacing w:after="200" w:line="276" w:lineRule="auto"/>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rPr>
      <w:lang w:val="en-US"/>
    </w:r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NormalWeb">
    <w:name w:val="Normal (Web)"/>
    <w:basedOn w:val="Normal"/>
    <w:uiPriority w:val="99"/>
    <w:semiHidden/>
    <w:unhideWhenUsed/>
    <w:rsid w:val="008F0EDB"/>
    <w:pPr>
      <w:spacing w:before="100" w:beforeAutospacing="1" w:after="100" w:afterAutospacing="1" w:line="240" w:lineRule="auto"/>
      <w:jc w:val="left"/>
    </w:pPr>
    <w:rPr>
      <w:rFonts w:eastAsia="Times New Roman"/>
      <w:szCs w:val="24"/>
      <w:lang w:eastAsia="en-IN"/>
    </w:rPr>
  </w:style>
  <w:style w:type="character" w:styleId="Hyperlink">
    <w:name w:val="Hyperlink"/>
    <w:basedOn w:val="DefaultParagraphFont"/>
    <w:uiPriority w:val="99"/>
    <w:semiHidden/>
    <w:unhideWhenUsed/>
    <w:rsid w:val="007F1761"/>
    <w:rPr>
      <w:color w:val="0000FF"/>
      <w:u w:val="single"/>
    </w:rPr>
  </w:style>
</w:styles>
</file>

<file path=word/webSettings.xml><?xml version="1.0" encoding="utf-8"?>
<w:webSettings xmlns:r="http://schemas.openxmlformats.org/officeDocument/2006/relationships" xmlns:w="http://schemas.openxmlformats.org/wordprocessingml/2006/main">
  <w:divs>
    <w:div w:id="745493110">
      <w:bodyDiv w:val="1"/>
      <w:marLeft w:val="0"/>
      <w:marRight w:val="0"/>
      <w:marTop w:val="0"/>
      <w:marBottom w:val="0"/>
      <w:divBdr>
        <w:top w:val="none" w:sz="0" w:space="0" w:color="auto"/>
        <w:left w:val="none" w:sz="0" w:space="0" w:color="auto"/>
        <w:bottom w:val="none" w:sz="0" w:space="0" w:color="auto"/>
        <w:right w:val="none" w:sz="0" w:space="0" w:color="auto"/>
      </w:divBdr>
    </w:div>
    <w:div w:id="789006635">
      <w:bodyDiv w:val="1"/>
      <w:marLeft w:val="0"/>
      <w:marRight w:val="0"/>
      <w:marTop w:val="0"/>
      <w:marBottom w:val="0"/>
      <w:divBdr>
        <w:top w:val="none" w:sz="0" w:space="0" w:color="auto"/>
        <w:left w:val="none" w:sz="0" w:space="0" w:color="auto"/>
        <w:bottom w:val="none" w:sz="0" w:space="0" w:color="auto"/>
        <w:right w:val="none" w:sz="0" w:space="0" w:color="auto"/>
      </w:divBdr>
    </w:div>
    <w:div w:id="1204437549">
      <w:bodyDiv w:val="1"/>
      <w:marLeft w:val="0"/>
      <w:marRight w:val="0"/>
      <w:marTop w:val="0"/>
      <w:marBottom w:val="0"/>
      <w:divBdr>
        <w:top w:val="none" w:sz="0" w:space="0" w:color="auto"/>
        <w:left w:val="none" w:sz="0" w:space="0" w:color="auto"/>
        <w:bottom w:val="none" w:sz="0" w:space="0" w:color="auto"/>
        <w:right w:val="none" w:sz="0" w:space="0" w:color="auto"/>
      </w:divBdr>
    </w:div>
    <w:div w:id="1956281391">
      <w:bodyDiv w:val="1"/>
      <w:marLeft w:val="0"/>
      <w:marRight w:val="0"/>
      <w:marTop w:val="0"/>
      <w:marBottom w:val="0"/>
      <w:divBdr>
        <w:top w:val="none" w:sz="0" w:space="0" w:color="auto"/>
        <w:left w:val="none" w:sz="0" w:space="0" w:color="auto"/>
        <w:bottom w:val="none" w:sz="0" w:space="0" w:color="auto"/>
        <w:right w:val="none" w:sz="0" w:space="0" w:color="auto"/>
      </w:divBdr>
    </w:div>
    <w:div w:id="21051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112</cp:revision>
  <dcterms:created xsi:type="dcterms:W3CDTF">2022-10-04T09:31:00Z</dcterms:created>
  <dcterms:modified xsi:type="dcterms:W3CDTF">2022-10-05T13:34:00Z</dcterms:modified>
</cp:coreProperties>
</file>