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0" w:rsidRPr="00CD0AF9" w:rsidRDefault="000219B0" w:rsidP="00F6429F">
      <w:pPr>
        <w:spacing w:line="360" w:lineRule="auto"/>
        <w:jc w:val="both"/>
        <w:rPr>
          <w:sz w:val="24"/>
          <w:szCs w:val="24"/>
        </w:rPr>
      </w:pPr>
    </w:p>
    <w:p w:rsidR="00F6429F" w:rsidRDefault="00F6429F" w:rsidP="00F6429F">
      <w:pPr>
        <w:spacing w:line="360" w:lineRule="auto"/>
        <w:jc w:val="both"/>
        <w:rPr>
          <w:b/>
          <w:bCs/>
          <w:sz w:val="24"/>
          <w:szCs w:val="24"/>
        </w:rPr>
      </w:pPr>
    </w:p>
    <w:p w:rsidR="00F6429F" w:rsidRPr="00F6429F" w:rsidRDefault="00F6429F" w:rsidP="00F6429F">
      <w:pPr>
        <w:spacing w:line="360" w:lineRule="auto"/>
        <w:jc w:val="center"/>
        <w:rPr>
          <w:b/>
          <w:bCs/>
          <w:sz w:val="24"/>
          <w:szCs w:val="24"/>
        </w:rPr>
      </w:pPr>
      <w:r w:rsidRPr="00F6429F">
        <w:rPr>
          <w:rFonts w:eastAsia="Calibri"/>
          <w:b/>
          <w:sz w:val="24"/>
          <w:szCs w:val="24"/>
        </w:rPr>
        <w:t>Ca</w:t>
      </w:r>
      <w:r w:rsidRPr="00F6429F">
        <w:rPr>
          <w:rFonts w:eastAsia="Calibri"/>
          <w:b/>
          <w:spacing w:val="-1"/>
          <w:sz w:val="24"/>
          <w:szCs w:val="24"/>
        </w:rPr>
        <w:t>p</w:t>
      </w:r>
      <w:r w:rsidRPr="00F6429F">
        <w:rPr>
          <w:rFonts w:eastAsia="Calibri"/>
          <w:b/>
          <w:sz w:val="24"/>
          <w:szCs w:val="24"/>
        </w:rPr>
        <w:t>ital</w:t>
      </w:r>
      <w:r w:rsidRPr="00F6429F">
        <w:rPr>
          <w:rFonts w:eastAsia="Calibri"/>
          <w:b/>
          <w:spacing w:val="-2"/>
          <w:sz w:val="24"/>
          <w:szCs w:val="24"/>
        </w:rPr>
        <w:t xml:space="preserve"> </w:t>
      </w:r>
      <w:r w:rsidRPr="00F6429F">
        <w:rPr>
          <w:rFonts w:eastAsia="Calibri"/>
          <w:b/>
          <w:spacing w:val="1"/>
          <w:sz w:val="24"/>
          <w:szCs w:val="24"/>
        </w:rPr>
        <w:t>M</w:t>
      </w:r>
      <w:r w:rsidRPr="00F6429F">
        <w:rPr>
          <w:rFonts w:eastAsia="Calibri"/>
          <w:b/>
          <w:sz w:val="24"/>
          <w:szCs w:val="24"/>
        </w:rPr>
        <w:t>ar</w:t>
      </w:r>
      <w:r w:rsidRPr="00F6429F">
        <w:rPr>
          <w:rFonts w:eastAsia="Calibri"/>
          <w:b/>
          <w:spacing w:val="-2"/>
          <w:sz w:val="24"/>
          <w:szCs w:val="24"/>
        </w:rPr>
        <w:t>k</w:t>
      </w:r>
      <w:r w:rsidRPr="00F6429F">
        <w:rPr>
          <w:rFonts w:eastAsia="Calibri"/>
          <w:b/>
          <w:sz w:val="24"/>
          <w:szCs w:val="24"/>
        </w:rPr>
        <w:t>et</w:t>
      </w:r>
      <w:r w:rsidRPr="00F6429F">
        <w:rPr>
          <w:rFonts w:eastAsia="Calibri"/>
          <w:b/>
          <w:spacing w:val="1"/>
          <w:sz w:val="24"/>
          <w:szCs w:val="24"/>
        </w:rPr>
        <w:t xml:space="preserve"> </w:t>
      </w:r>
      <w:r w:rsidRPr="00F6429F">
        <w:rPr>
          <w:rFonts w:eastAsia="Calibri"/>
          <w:b/>
          <w:sz w:val="24"/>
          <w:szCs w:val="24"/>
        </w:rPr>
        <w:t>and</w:t>
      </w:r>
      <w:r w:rsidRPr="00F6429F">
        <w:rPr>
          <w:rFonts w:eastAsia="Calibri"/>
          <w:b/>
          <w:spacing w:val="-4"/>
          <w:sz w:val="24"/>
          <w:szCs w:val="24"/>
        </w:rPr>
        <w:t xml:space="preserve"> </w:t>
      </w:r>
      <w:r w:rsidRPr="00F6429F">
        <w:rPr>
          <w:rFonts w:eastAsia="Calibri"/>
          <w:b/>
          <w:spacing w:val="-1"/>
          <w:sz w:val="24"/>
          <w:szCs w:val="24"/>
        </w:rPr>
        <w:t>P</w:t>
      </w:r>
      <w:r w:rsidRPr="00F6429F">
        <w:rPr>
          <w:rFonts w:eastAsia="Calibri"/>
          <w:b/>
          <w:spacing w:val="1"/>
          <w:sz w:val="24"/>
          <w:szCs w:val="24"/>
        </w:rPr>
        <w:t>o</w:t>
      </w:r>
      <w:r w:rsidRPr="00F6429F">
        <w:rPr>
          <w:rFonts w:eastAsia="Calibri"/>
          <w:b/>
          <w:sz w:val="24"/>
          <w:szCs w:val="24"/>
        </w:rPr>
        <w:t>rt</w:t>
      </w:r>
      <w:r w:rsidRPr="00F6429F">
        <w:rPr>
          <w:rFonts w:eastAsia="Calibri"/>
          <w:b/>
          <w:spacing w:val="-2"/>
          <w:sz w:val="24"/>
          <w:szCs w:val="24"/>
        </w:rPr>
        <w:t>f</w:t>
      </w:r>
      <w:r w:rsidRPr="00F6429F">
        <w:rPr>
          <w:rFonts w:eastAsia="Calibri"/>
          <w:b/>
          <w:spacing w:val="1"/>
          <w:sz w:val="24"/>
          <w:szCs w:val="24"/>
        </w:rPr>
        <w:t>o</w:t>
      </w:r>
      <w:r w:rsidRPr="00F6429F">
        <w:rPr>
          <w:rFonts w:eastAsia="Calibri"/>
          <w:b/>
          <w:sz w:val="24"/>
          <w:szCs w:val="24"/>
        </w:rPr>
        <w:t>lio</w:t>
      </w:r>
      <w:r w:rsidRPr="00F6429F">
        <w:rPr>
          <w:rFonts w:eastAsia="Calibri"/>
          <w:b/>
          <w:spacing w:val="-1"/>
          <w:sz w:val="24"/>
          <w:szCs w:val="24"/>
        </w:rPr>
        <w:t xml:space="preserve"> </w:t>
      </w:r>
      <w:r w:rsidRPr="00F6429F">
        <w:rPr>
          <w:rFonts w:eastAsia="Calibri"/>
          <w:b/>
          <w:spacing w:val="1"/>
          <w:sz w:val="24"/>
          <w:szCs w:val="24"/>
        </w:rPr>
        <w:t>M</w:t>
      </w:r>
      <w:r w:rsidRPr="00F6429F">
        <w:rPr>
          <w:rFonts w:eastAsia="Calibri"/>
          <w:b/>
          <w:sz w:val="24"/>
          <w:szCs w:val="24"/>
        </w:rPr>
        <w:t>a</w:t>
      </w:r>
      <w:r w:rsidRPr="00F6429F">
        <w:rPr>
          <w:rFonts w:eastAsia="Calibri"/>
          <w:b/>
          <w:spacing w:val="-1"/>
          <w:sz w:val="24"/>
          <w:szCs w:val="24"/>
        </w:rPr>
        <w:t>n</w:t>
      </w:r>
      <w:r w:rsidRPr="00F6429F">
        <w:rPr>
          <w:rFonts w:eastAsia="Calibri"/>
          <w:b/>
          <w:sz w:val="24"/>
          <w:szCs w:val="24"/>
        </w:rPr>
        <w:t>a</w:t>
      </w:r>
      <w:r w:rsidRPr="00F6429F">
        <w:rPr>
          <w:rFonts w:eastAsia="Calibri"/>
          <w:b/>
          <w:spacing w:val="-1"/>
          <w:sz w:val="24"/>
          <w:szCs w:val="24"/>
        </w:rPr>
        <w:t>g</w:t>
      </w:r>
      <w:r w:rsidRPr="00F6429F">
        <w:rPr>
          <w:rFonts w:eastAsia="Calibri"/>
          <w:b/>
          <w:spacing w:val="-2"/>
          <w:sz w:val="24"/>
          <w:szCs w:val="24"/>
        </w:rPr>
        <w:t>e</w:t>
      </w:r>
      <w:r w:rsidRPr="00F6429F">
        <w:rPr>
          <w:rFonts w:eastAsia="Calibri"/>
          <w:b/>
          <w:spacing w:val="1"/>
          <w:sz w:val="24"/>
          <w:szCs w:val="24"/>
        </w:rPr>
        <w:t>m</w:t>
      </w:r>
      <w:r w:rsidRPr="00F6429F">
        <w:rPr>
          <w:rFonts w:eastAsia="Calibri"/>
          <w:b/>
          <w:sz w:val="24"/>
          <w:szCs w:val="24"/>
        </w:rPr>
        <w:t>e</w:t>
      </w:r>
      <w:r w:rsidRPr="00F6429F">
        <w:rPr>
          <w:rFonts w:eastAsia="Calibri"/>
          <w:b/>
          <w:spacing w:val="-3"/>
          <w:sz w:val="24"/>
          <w:szCs w:val="24"/>
        </w:rPr>
        <w:t>n</w:t>
      </w:r>
      <w:r w:rsidRPr="00F6429F">
        <w:rPr>
          <w:rFonts w:eastAsia="Calibri"/>
          <w:b/>
          <w:sz w:val="24"/>
          <w:szCs w:val="24"/>
        </w:rPr>
        <w:t>t</w:t>
      </w:r>
    </w:p>
    <w:p w:rsidR="00F6429F" w:rsidRPr="00F6429F" w:rsidRDefault="00F6429F" w:rsidP="00F6429F">
      <w:pPr>
        <w:spacing w:line="360" w:lineRule="auto"/>
        <w:jc w:val="center"/>
        <w:rPr>
          <w:b/>
          <w:bCs/>
          <w:sz w:val="24"/>
          <w:szCs w:val="24"/>
        </w:rPr>
      </w:pPr>
      <w:r w:rsidRPr="00F6429F">
        <w:rPr>
          <w:rFonts w:eastAsia="Calibri"/>
          <w:b/>
          <w:spacing w:val="-1"/>
          <w:sz w:val="24"/>
          <w:szCs w:val="24"/>
        </w:rPr>
        <w:t>Sep</w:t>
      </w:r>
      <w:r w:rsidRPr="00F6429F">
        <w:rPr>
          <w:rFonts w:eastAsia="Calibri"/>
          <w:b/>
          <w:sz w:val="24"/>
          <w:szCs w:val="24"/>
        </w:rPr>
        <w:t>tem</w:t>
      </w:r>
      <w:r w:rsidRPr="00F6429F">
        <w:rPr>
          <w:rFonts w:eastAsia="Calibri"/>
          <w:b/>
          <w:spacing w:val="-1"/>
          <w:sz w:val="24"/>
          <w:szCs w:val="24"/>
        </w:rPr>
        <w:t>be</w:t>
      </w:r>
      <w:r w:rsidRPr="00F6429F">
        <w:rPr>
          <w:rFonts w:eastAsia="Calibri"/>
          <w:b/>
          <w:sz w:val="24"/>
          <w:szCs w:val="24"/>
        </w:rPr>
        <w:t>r</w:t>
      </w:r>
      <w:r w:rsidRPr="00F6429F">
        <w:rPr>
          <w:rFonts w:eastAsia="Calibri"/>
          <w:b/>
          <w:spacing w:val="-1"/>
          <w:sz w:val="24"/>
          <w:szCs w:val="24"/>
        </w:rPr>
        <w:t xml:space="preserve"> </w:t>
      </w:r>
      <w:r w:rsidRPr="00F6429F">
        <w:rPr>
          <w:rFonts w:eastAsia="Calibri"/>
          <w:b/>
          <w:spacing w:val="1"/>
          <w:sz w:val="24"/>
          <w:szCs w:val="24"/>
        </w:rPr>
        <w:t>2</w:t>
      </w:r>
      <w:r w:rsidRPr="00F6429F">
        <w:rPr>
          <w:rFonts w:eastAsia="Calibri"/>
          <w:b/>
          <w:spacing w:val="-1"/>
          <w:sz w:val="24"/>
          <w:szCs w:val="24"/>
        </w:rPr>
        <w:t>0</w:t>
      </w:r>
      <w:r w:rsidRPr="00F6429F">
        <w:rPr>
          <w:rFonts w:eastAsia="Calibri"/>
          <w:b/>
          <w:spacing w:val="-2"/>
          <w:sz w:val="24"/>
          <w:szCs w:val="24"/>
        </w:rPr>
        <w:t>2</w:t>
      </w:r>
      <w:r w:rsidRPr="00F6429F">
        <w:rPr>
          <w:rFonts w:eastAsia="Calibri"/>
          <w:b/>
          <w:sz w:val="24"/>
          <w:szCs w:val="24"/>
        </w:rPr>
        <w:t>2</w:t>
      </w:r>
      <w:r w:rsidRPr="00F6429F">
        <w:rPr>
          <w:rFonts w:eastAsia="Calibri"/>
          <w:b/>
          <w:spacing w:val="-1"/>
          <w:sz w:val="24"/>
          <w:szCs w:val="24"/>
        </w:rPr>
        <w:t xml:space="preserve"> </w:t>
      </w:r>
      <w:r w:rsidRPr="00F6429F">
        <w:rPr>
          <w:rFonts w:eastAsia="Calibri"/>
          <w:b/>
          <w:sz w:val="24"/>
          <w:szCs w:val="24"/>
        </w:rPr>
        <w:t>Ex</w:t>
      </w:r>
      <w:r w:rsidRPr="00F6429F">
        <w:rPr>
          <w:rFonts w:eastAsia="Calibri"/>
          <w:b/>
          <w:spacing w:val="-1"/>
          <w:sz w:val="24"/>
          <w:szCs w:val="24"/>
        </w:rPr>
        <w:t>a</w:t>
      </w:r>
      <w:r w:rsidRPr="00F6429F">
        <w:rPr>
          <w:rFonts w:eastAsia="Calibri"/>
          <w:b/>
          <w:sz w:val="24"/>
          <w:szCs w:val="24"/>
        </w:rPr>
        <w:t>m</w:t>
      </w:r>
      <w:r w:rsidRPr="00F6429F">
        <w:rPr>
          <w:rFonts w:eastAsia="Calibri"/>
          <w:b/>
          <w:spacing w:val="1"/>
          <w:sz w:val="24"/>
          <w:szCs w:val="24"/>
        </w:rPr>
        <w:t>i</w:t>
      </w:r>
      <w:r w:rsidRPr="00F6429F">
        <w:rPr>
          <w:rFonts w:eastAsia="Calibri"/>
          <w:b/>
          <w:spacing w:val="-1"/>
          <w:sz w:val="24"/>
          <w:szCs w:val="24"/>
        </w:rPr>
        <w:t>na</w:t>
      </w:r>
      <w:r w:rsidRPr="00F6429F">
        <w:rPr>
          <w:rFonts w:eastAsia="Calibri"/>
          <w:b/>
          <w:sz w:val="24"/>
          <w:szCs w:val="24"/>
        </w:rPr>
        <w:t>t</w:t>
      </w:r>
      <w:r w:rsidRPr="00F6429F">
        <w:rPr>
          <w:rFonts w:eastAsia="Calibri"/>
          <w:b/>
          <w:spacing w:val="1"/>
          <w:sz w:val="24"/>
          <w:szCs w:val="24"/>
        </w:rPr>
        <w:t>i</w:t>
      </w:r>
      <w:r w:rsidRPr="00F6429F">
        <w:rPr>
          <w:rFonts w:eastAsia="Calibri"/>
          <w:b/>
          <w:spacing w:val="-1"/>
          <w:sz w:val="24"/>
          <w:szCs w:val="24"/>
        </w:rPr>
        <w:t>o</w:t>
      </w:r>
      <w:r w:rsidRPr="00F6429F">
        <w:rPr>
          <w:rFonts w:eastAsia="Calibri"/>
          <w:b/>
          <w:sz w:val="24"/>
          <w:szCs w:val="24"/>
        </w:rPr>
        <w:t>n</w:t>
      </w:r>
    </w:p>
    <w:p w:rsidR="00F6429F" w:rsidRDefault="00F6429F" w:rsidP="00F6429F">
      <w:pPr>
        <w:spacing w:line="360" w:lineRule="auto"/>
        <w:jc w:val="both"/>
        <w:rPr>
          <w:b/>
          <w:bCs/>
          <w:sz w:val="24"/>
          <w:szCs w:val="24"/>
        </w:rPr>
      </w:pPr>
    </w:p>
    <w:p w:rsidR="00F6429F" w:rsidRDefault="00F6429F" w:rsidP="00F6429F">
      <w:pPr>
        <w:spacing w:line="360" w:lineRule="auto"/>
        <w:jc w:val="both"/>
        <w:rPr>
          <w:b/>
          <w:bCs/>
          <w:sz w:val="24"/>
          <w:szCs w:val="24"/>
        </w:rPr>
      </w:pPr>
    </w:p>
    <w:p w:rsidR="00F6429F" w:rsidRDefault="00F6429F" w:rsidP="00F6429F">
      <w:pPr>
        <w:spacing w:line="360" w:lineRule="auto"/>
        <w:jc w:val="both"/>
        <w:rPr>
          <w:b/>
          <w:bCs/>
          <w:sz w:val="24"/>
          <w:szCs w:val="24"/>
        </w:rPr>
      </w:pPr>
    </w:p>
    <w:p w:rsidR="000C7F7F" w:rsidRPr="00F6429F" w:rsidRDefault="00F6429F" w:rsidP="00F6429F">
      <w:pPr>
        <w:spacing w:line="360" w:lineRule="auto"/>
        <w:jc w:val="both"/>
        <w:rPr>
          <w:b/>
          <w:bCs/>
          <w:sz w:val="24"/>
          <w:szCs w:val="24"/>
        </w:rPr>
      </w:pPr>
      <w:r>
        <w:rPr>
          <w:b/>
          <w:bCs/>
          <w:sz w:val="24"/>
          <w:szCs w:val="24"/>
        </w:rPr>
        <w:t xml:space="preserve">Q1. </w:t>
      </w:r>
      <w:r w:rsidR="00A96D46" w:rsidRPr="00F6429F">
        <w:rPr>
          <w:b/>
          <w:bCs/>
          <w:sz w:val="24"/>
          <w:szCs w:val="24"/>
        </w:rPr>
        <w:t>Efficient market hypothesis repudiates the technical analysis by arguing that no abnormal returns can be earned by using three different forms of information. In the light of this</w:t>
      </w:r>
      <w:r w:rsidR="000C7F7F" w:rsidRPr="00F6429F">
        <w:rPr>
          <w:b/>
          <w:bCs/>
          <w:sz w:val="24"/>
          <w:szCs w:val="24"/>
        </w:rPr>
        <w:t xml:space="preserve"> statement, discuss the three forms of EMH, and comment on their validity in the stock markets in contemporary periods.</w:t>
      </w:r>
      <w:r w:rsidR="000C7F7F" w:rsidRPr="00F6429F">
        <w:rPr>
          <w:b/>
          <w:bCs/>
          <w:sz w:val="24"/>
          <w:szCs w:val="24"/>
        </w:rPr>
        <w:tab/>
        <w:t>(10 Marks)</w:t>
      </w:r>
    </w:p>
    <w:p w:rsidR="00F6429F" w:rsidRDefault="00F6429F" w:rsidP="00F6429F">
      <w:pPr>
        <w:spacing w:line="360" w:lineRule="auto"/>
        <w:jc w:val="both"/>
        <w:rPr>
          <w:b/>
          <w:bCs/>
          <w:sz w:val="24"/>
          <w:szCs w:val="24"/>
        </w:rPr>
      </w:pPr>
    </w:p>
    <w:p w:rsidR="00F6429F" w:rsidRDefault="00F6429F" w:rsidP="00F6429F">
      <w:pPr>
        <w:spacing w:line="360" w:lineRule="auto"/>
        <w:jc w:val="both"/>
        <w:rPr>
          <w:b/>
          <w:bCs/>
          <w:sz w:val="24"/>
          <w:szCs w:val="24"/>
        </w:rPr>
      </w:pPr>
      <w:r>
        <w:rPr>
          <w:b/>
          <w:bCs/>
          <w:sz w:val="24"/>
          <w:szCs w:val="24"/>
        </w:rPr>
        <w:t>Ans 1.</w:t>
      </w:r>
    </w:p>
    <w:p w:rsidR="000219B0" w:rsidRPr="00CD0AF9" w:rsidRDefault="007D231B" w:rsidP="00F6429F">
      <w:pPr>
        <w:spacing w:line="360" w:lineRule="auto"/>
        <w:jc w:val="both"/>
        <w:rPr>
          <w:b/>
          <w:bCs/>
          <w:sz w:val="24"/>
          <w:szCs w:val="24"/>
        </w:rPr>
      </w:pPr>
      <w:r w:rsidRPr="00CD0AF9">
        <w:rPr>
          <w:b/>
          <w:bCs/>
          <w:sz w:val="24"/>
          <w:szCs w:val="24"/>
        </w:rPr>
        <w:t xml:space="preserve">Introduction </w:t>
      </w:r>
    </w:p>
    <w:p w:rsidR="006D3331" w:rsidRDefault="00F135FD" w:rsidP="008604A5">
      <w:pPr>
        <w:spacing w:line="360" w:lineRule="auto"/>
        <w:jc w:val="both"/>
        <w:rPr>
          <w:sz w:val="24"/>
          <w:szCs w:val="24"/>
        </w:rPr>
      </w:pPr>
      <w:r w:rsidRPr="00CD0AF9">
        <w:rPr>
          <w:sz w:val="24"/>
          <w:szCs w:val="24"/>
        </w:rPr>
        <w:t xml:space="preserve">The Efficient Market Hypothesis (EMH) fundamentally asserts that the prices of investment securities, such as stocks, already take into account all available information regarding those securities.  If so, no amount of study will be able to provide you an advantage over "the market." Investors need not be logical; according to EMH, each investor will behave arbitrarily. However, the market is always "correct" overall. Simply put, the word "efficient" implies the word "normal. For instance, a strange response to a strange piece of information is typical. It's typical for you to follow the herd if they suddenly begin moving in that direction, </w:t>
      </w:r>
    </w:p>
    <w:p w:rsidR="008604A5" w:rsidRDefault="008604A5" w:rsidP="008604A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604A5" w:rsidRDefault="008604A5" w:rsidP="008604A5">
      <w:pPr>
        <w:shd w:val="clear" w:color="auto" w:fill="FFFFFF"/>
        <w:spacing w:line="360" w:lineRule="auto"/>
        <w:jc w:val="center"/>
        <w:rPr>
          <w:rFonts w:cs="Calibri"/>
          <w:color w:val="222222"/>
        </w:rPr>
      </w:pPr>
    </w:p>
    <w:p w:rsidR="008604A5" w:rsidRDefault="008604A5" w:rsidP="008604A5">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8604A5" w:rsidRDefault="008604A5" w:rsidP="008604A5">
      <w:pPr>
        <w:shd w:val="clear" w:color="auto" w:fill="FFFFFF"/>
        <w:spacing w:line="360" w:lineRule="auto"/>
        <w:jc w:val="center"/>
        <w:rPr>
          <w:rFonts w:cs="Calibri"/>
          <w:color w:val="222222"/>
        </w:rPr>
      </w:pPr>
    </w:p>
    <w:p w:rsidR="008604A5" w:rsidRDefault="008604A5" w:rsidP="008604A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8604A5" w:rsidRDefault="008604A5" w:rsidP="008604A5">
      <w:pPr>
        <w:shd w:val="clear" w:color="auto" w:fill="FFFFFF"/>
        <w:spacing w:line="360" w:lineRule="auto"/>
        <w:jc w:val="center"/>
        <w:rPr>
          <w:rFonts w:ascii="Arial" w:hAnsi="Arial" w:cs="Calibri"/>
          <w:color w:val="222222"/>
        </w:rPr>
      </w:pPr>
    </w:p>
    <w:p w:rsidR="008604A5" w:rsidRDefault="008604A5" w:rsidP="008604A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8604A5" w:rsidRDefault="008604A5" w:rsidP="008604A5">
      <w:pPr>
        <w:shd w:val="clear" w:color="auto" w:fill="FFFFFF"/>
        <w:spacing w:line="360" w:lineRule="auto"/>
        <w:jc w:val="center"/>
        <w:rPr>
          <w:rFonts w:ascii="Georgia" w:hAnsi="Georgia" w:cs="Calibri"/>
          <w:color w:val="500050"/>
          <w:sz w:val="33"/>
          <w:szCs w:val="33"/>
        </w:rPr>
      </w:pPr>
    </w:p>
    <w:p w:rsidR="008604A5" w:rsidRDefault="008604A5" w:rsidP="008604A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8604A5" w:rsidRDefault="008604A5" w:rsidP="008604A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604A5" w:rsidRDefault="008604A5" w:rsidP="008604A5">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8604A5" w:rsidRDefault="008604A5" w:rsidP="008604A5">
      <w:pPr>
        <w:shd w:val="clear" w:color="auto" w:fill="FFFFFF"/>
        <w:spacing w:line="360" w:lineRule="auto"/>
        <w:jc w:val="center"/>
        <w:rPr>
          <w:rFonts w:cs="Calibri"/>
          <w:color w:val="500050"/>
        </w:rPr>
      </w:pPr>
    </w:p>
    <w:p w:rsidR="008604A5" w:rsidRDefault="008604A5" w:rsidP="008604A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8604A5" w:rsidRDefault="008604A5" w:rsidP="008604A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8604A5" w:rsidRDefault="008604A5" w:rsidP="008604A5">
      <w:pPr>
        <w:shd w:val="clear" w:color="auto" w:fill="FFFFFF"/>
        <w:spacing w:line="360" w:lineRule="auto"/>
        <w:jc w:val="center"/>
        <w:rPr>
          <w:rFonts w:cs="Calibri"/>
          <w:color w:val="500050"/>
        </w:rPr>
      </w:pPr>
      <w:r>
        <w:rPr>
          <w:rFonts w:ascii="Georgia" w:hAnsi="Georgia" w:cs="Calibri"/>
          <w:color w:val="500050"/>
          <w:sz w:val="33"/>
          <w:szCs w:val="33"/>
        </w:rPr>
        <w:t>1 hour.</w:t>
      </w:r>
    </w:p>
    <w:p w:rsidR="008604A5" w:rsidRDefault="008604A5" w:rsidP="008604A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604A5" w:rsidRDefault="008604A5" w:rsidP="008604A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8604A5" w:rsidRDefault="008604A5" w:rsidP="008604A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604A5" w:rsidRDefault="008604A5" w:rsidP="008604A5">
      <w:pPr>
        <w:spacing w:line="360" w:lineRule="auto"/>
        <w:jc w:val="both"/>
        <w:rPr>
          <w:sz w:val="24"/>
          <w:szCs w:val="24"/>
        </w:rPr>
      </w:pPr>
    </w:p>
    <w:p w:rsidR="008604A5" w:rsidRPr="00CD0AF9" w:rsidRDefault="008604A5" w:rsidP="008604A5">
      <w:pPr>
        <w:spacing w:line="360" w:lineRule="auto"/>
        <w:jc w:val="both"/>
        <w:rPr>
          <w:sz w:val="24"/>
          <w:szCs w:val="24"/>
        </w:rPr>
      </w:pPr>
    </w:p>
    <w:p w:rsidR="000219B0" w:rsidRPr="00CD0AF9" w:rsidRDefault="000219B0" w:rsidP="00F6429F">
      <w:pPr>
        <w:spacing w:line="360" w:lineRule="auto"/>
        <w:ind w:firstLine="720"/>
        <w:jc w:val="both"/>
        <w:rPr>
          <w:sz w:val="24"/>
          <w:szCs w:val="24"/>
        </w:rPr>
      </w:pPr>
    </w:p>
    <w:p w:rsidR="00EE6D18" w:rsidRPr="00CD0AF9" w:rsidRDefault="00EE6D18" w:rsidP="00F6429F">
      <w:pPr>
        <w:spacing w:line="360" w:lineRule="auto"/>
        <w:ind w:firstLine="720"/>
        <w:jc w:val="both"/>
        <w:rPr>
          <w:sz w:val="24"/>
          <w:szCs w:val="24"/>
        </w:rPr>
      </w:pPr>
    </w:p>
    <w:p w:rsidR="000219B0" w:rsidRPr="00F6429F" w:rsidRDefault="00F6429F" w:rsidP="00F6429F">
      <w:pPr>
        <w:spacing w:line="360" w:lineRule="auto"/>
        <w:rPr>
          <w:b/>
          <w:bCs/>
          <w:sz w:val="24"/>
          <w:szCs w:val="24"/>
        </w:rPr>
      </w:pPr>
      <w:r>
        <w:rPr>
          <w:b/>
          <w:bCs/>
          <w:sz w:val="24"/>
          <w:szCs w:val="24"/>
        </w:rPr>
        <w:t xml:space="preserve">Q2. </w:t>
      </w:r>
      <w:r w:rsidR="00775439" w:rsidRPr="00F6429F">
        <w:rPr>
          <w:b/>
          <w:bCs/>
          <w:sz w:val="24"/>
          <w:szCs w:val="24"/>
        </w:rPr>
        <w:t>From the following information about two portfolios, explain which one offers a better investment option based on the Sharpe ratio.</w:t>
      </w:r>
      <w:r w:rsidR="00775439" w:rsidRPr="00F6429F">
        <w:rPr>
          <w:b/>
          <w:bCs/>
          <w:sz w:val="24"/>
          <w:szCs w:val="24"/>
        </w:rPr>
        <w:tab/>
        <w:t>(10 Marks)</w:t>
      </w:r>
    </w:p>
    <w:p w:rsidR="000219B0" w:rsidRPr="00CD0AF9" w:rsidRDefault="000219B0" w:rsidP="00F6429F">
      <w:pPr>
        <w:spacing w:line="360" w:lineRule="auto"/>
        <w:ind w:firstLine="720"/>
        <w:jc w:val="both"/>
        <w:rPr>
          <w:b/>
          <w:bCs/>
          <w:sz w:val="24"/>
          <w:szCs w:val="24"/>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21"/>
        <w:gridCol w:w="1829"/>
        <w:gridCol w:w="1416"/>
      </w:tblGrid>
      <w:tr w:rsidR="000219B0" w:rsidRPr="00CD0AF9" w:rsidTr="00F6429F">
        <w:trPr>
          <w:trHeight w:val="412"/>
        </w:trPr>
        <w:tc>
          <w:tcPr>
            <w:tcW w:w="4121" w:type="dxa"/>
          </w:tcPr>
          <w:p w:rsidR="000219B0" w:rsidRPr="00CD0AF9" w:rsidRDefault="000219B0" w:rsidP="00F6429F">
            <w:pPr>
              <w:spacing w:line="360" w:lineRule="auto"/>
              <w:ind w:firstLine="720"/>
              <w:rPr>
                <w:b/>
                <w:bCs/>
                <w:sz w:val="24"/>
                <w:szCs w:val="24"/>
              </w:rPr>
            </w:pPr>
          </w:p>
        </w:tc>
        <w:tc>
          <w:tcPr>
            <w:tcW w:w="1829" w:type="dxa"/>
          </w:tcPr>
          <w:p w:rsidR="000219B0" w:rsidRPr="00CD0AF9" w:rsidRDefault="00A96D46" w:rsidP="00F6429F">
            <w:pPr>
              <w:spacing w:line="360" w:lineRule="auto"/>
              <w:ind w:firstLine="720"/>
              <w:jc w:val="center"/>
              <w:rPr>
                <w:b/>
                <w:bCs/>
                <w:sz w:val="24"/>
                <w:szCs w:val="24"/>
              </w:rPr>
            </w:pPr>
            <w:r w:rsidRPr="00CD0AF9">
              <w:rPr>
                <w:b/>
                <w:bCs/>
                <w:sz w:val="24"/>
                <w:szCs w:val="24"/>
              </w:rPr>
              <w:t>Portfolio X</w:t>
            </w:r>
          </w:p>
        </w:tc>
        <w:tc>
          <w:tcPr>
            <w:tcW w:w="1416" w:type="dxa"/>
          </w:tcPr>
          <w:p w:rsidR="000219B0" w:rsidRPr="00CD0AF9" w:rsidRDefault="00A96D46" w:rsidP="00F6429F">
            <w:pPr>
              <w:spacing w:line="360" w:lineRule="auto"/>
              <w:ind w:firstLine="720"/>
              <w:jc w:val="center"/>
              <w:rPr>
                <w:b/>
                <w:bCs/>
                <w:sz w:val="24"/>
                <w:szCs w:val="24"/>
              </w:rPr>
            </w:pPr>
            <w:r w:rsidRPr="00CD0AF9">
              <w:rPr>
                <w:b/>
                <w:bCs/>
                <w:sz w:val="24"/>
                <w:szCs w:val="24"/>
              </w:rPr>
              <w:t>Portfolio Y</w:t>
            </w:r>
          </w:p>
        </w:tc>
      </w:tr>
      <w:tr w:rsidR="000219B0" w:rsidRPr="00CD0AF9" w:rsidTr="00F6429F">
        <w:trPr>
          <w:trHeight w:val="414"/>
        </w:trPr>
        <w:tc>
          <w:tcPr>
            <w:tcW w:w="4121" w:type="dxa"/>
          </w:tcPr>
          <w:p w:rsidR="000219B0" w:rsidRPr="00CD0AF9" w:rsidRDefault="00A96D46" w:rsidP="00F6429F">
            <w:pPr>
              <w:spacing w:line="360" w:lineRule="auto"/>
              <w:ind w:firstLine="720"/>
              <w:rPr>
                <w:b/>
                <w:bCs/>
                <w:sz w:val="24"/>
                <w:szCs w:val="24"/>
              </w:rPr>
            </w:pPr>
            <w:r w:rsidRPr="00CD0AF9">
              <w:rPr>
                <w:b/>
                <w:bCs/>
                <w:sz w:val="24"/>
                <w:szCs w:val="24"/>
              </w:rPr>
              <w:t>Annual Return (Rp)</w:t>
            </w:r>
          </w:p>
        </w:tc>
        <w:tc>
          <w:tcPr>
            <w:tcW w:w="1829" w:type="dxa"/>
          </w:tcPr>
          <w:p w:rsidR="000219B0" w:rsidRPr="00CD0AF9" w:rsidRDefault="00A96D46" w:rsidP="00F6429F">
            <w:pPr>
              <w:spacing w:line="360" w:lineRule="auto"/>
              <w:ind w:firstLine="720"/>
              <w:jc w:val="center"/>
              <w:rPr>
                <w:b/>
                <w:bCs/>
                <w:sz w:val="24"/>
                <w:szCs w:val="24"/>
              </w:rPr>
            </w:pPr>
            <w:r w:rsidRPr="00CD0AF9">
              <w:rPr>
                <w:b/>
                <w:bCs/>
                <w:sz w:val="24"/>
                <w:szCs w:val="24"/>
              </w:rPr>
              <w:t>7.6%</w:t>
            </w:r>
          </w:p>
        </w:tc>
        <w:tc>
          <w:tcPr>
            <w:tcW w:w="1416" w:type="dxa"/>
          </w:tcPr>
          <w:p w:rsidR="000219B0" w:rsidRPr="00CD0AF9" w:rsidRDefault="00A96D46" w:rsidP="00F6429F">
            <w:pPr>
              <w:spacing w:line="360" w:lineRule="auto"/>
              <w:ind w:firstLine="720"/>
              <w:jc w:val="center"/>
              <w:rPr>
                <w:b/>
                <w:bCs/>
                <w:sz w:val="24"/>
                <w:szCs w:val="24"/>
              </w:rPr>
            </w:pPr>
            <w:r w:rsidRPr="00CD0AF9">
              <w:rPr>
                <w:b/>
                <w:bCs/>
                <w:sz w:val="24"/>
                <w:szCs w:val="24"/>
              </w:rPr>
              <w:t>8.9%</w:t>
            </w:r>
          </w:p>
        </w:tc>
      </w:tr>
      <w:tr w:rsidR="000219B0" w:rsidRPr="00CD0AF9" w:rsidTr="00F6429F">
        <w:trPr>
          <w:trHeight w:val="414"/>
        </w:trPr>
        <w:tc>
          <w:tcPr>
            <w:tcW w:w="4121" w:type="dxa"/>
          </w:tcPr>
          <w:p w:rsidR="000219B0" w:rsidRPr="00CD0AF9" w:rsidRDefault="00A96D46" w:rsidP="00F6429F">
            <w:pPr>
              <w:spacing w:line="360" w:lineRule="auto"/>
              <w:ind w:firstLine="720"/>
              <w:rPr>
                <w:b/>
                <w:bCs/>
                <w:sz w:val="24"/>
                <w:szCs w:val="24"/>
              </w:rPr>
            </w:pPr>
            <w:r w:rsidRPr="00CD0AF9">
              <w:rPr>
                <w:b/>
                <w:bCs/>
                <w:sz w:val="24"/>
                <w:szCs w:val="24"/>
              </w:rPr>
              <w:t>Risk-free Return (Rf)</w:t>
            </w:r>
          </w:p>
        </w:tc>
        <w:tc>
          <w:tcPr>
            <w:tcW w:w="1829" w:type="dxa"/>
          </w:tcPr>
          <w:p w:rsidR="000219B0" w:rsidRPr="00CD0AF9" w:rsidRDefault="00A96D46" w:rsidP="00F6429F">
            <w:pPr>
              <w:spacing w:line="360" w:lineRule="auto"/>
              <w:ind w:firstLine="720"/>
              <w:jc w:val="center"/>
              <w:rPr>
                <w:b/>
                <w:bCs/>
                <w:sz w:val="24"/>
                <w:szCs w:val="24"/>
              </w:rPr>
            </w:pPr>
            <w:r w:rsidRPr="00CD0AF9">
              <w:rPr>
                <w:b/>
                <w:bCs/>
                <w:sz w:val="24"/>
                <w:szCs w:val="24"/>
              </w:rPr>
              <w:t>5%</w:t>
            </w:r>
          </w:p>
        </w:tc>
        <w:tc>
          <w:tcPr>
            <w:tcW w:w="1416" w:type="dxa"/>
          </w:tcPr>
          <w:p w:rsidR="000219B0" w:rsidRPr="00CD0AF9" w:rsidRDefault="00A96D46" w:rsidP="00F6429F">
            <w:pPr>
              <w:spacing w:line="360" w:lineRule="auto"/>
              <w:ind w:firstLine="720"/>
              <w:jc w:val="center"/>
              <w:rPr>
                <w:b/>
                <w:bCs/>
                <w:sz w:val="24"/>
                <w:szCs w:val="24"/>
              </w:rPr>
            </w:pPr>
            <w:r w:rsidRPr="00CD0AF9">
              <w:rPr>
                <w:b/>
                <w:bCs/>
                <w:sz w:val="24"/>
                <w:szCs w:val="24"/>
              </w:rPr>
              <w:t>5%</w:t>
            </w:r>
          </w:p>
        </w:tc>
      </w:tr>
      <w:tr w:rsidR="000219B0" w:rsidRPr="00CD0AF9" w:rsidTr="00F6429F">
        <w:trPr>
          <w:trHeight w:val="414"/>
        </w:trPr>
        <w:tc>
          <w:tcPr>
            <w:tcW w:w="4121" w:type="dxa"/>
          </w:tcPr>
          <w:p w:rsidR="000219B0" w:rsidRPr="00CD0AF9" w:rsidRDefault="00A96D46" w:rsidP="00F6429F">
            <w:pPr>
              <w:spacing w:line="360" w:lineRule="auto"/>
              <w:ind w:firstLine="720"/>
              <w:rPr>
                <w:b/>
                <w:bCs/>
                <w:sz w:val="24"/>
                <w:szCs w:val="24"/>
              </w:rPr>
            </w:pPr>
            <w:r w:rsidRPr="00CD0AF9">
              <w:rPr>
                <w:b/>
                <w:bCs/>
                <w:sz w:val="24"/>
                <w:szCs w:val="24"/>
              </w:rPr>
              <w:t>Standard deviation of portfolio’s return (ơp)</w:t>
            </w:r>
          </w:p>
        </w:tc>
        <w:tc>
          <w:tcPr>
            <w:tcW w:w="1829" w:type="dxa"/>
          </w:tcPr>
          <w:p w:rsidR="000219B0" w:rsidRPr="00CD0AF9" w:rsidRDefault="00A96D46" w:rsidP="00F6429F">
            <w:pPr>
              <w:spacing w:line="360" w:lineRule="auto"/>
              <w:ind w:firstLine="720"/>
              <w:jc w:val="center"/>
              <w:rPr>
                <w:b/>
                <w:bCs/>
                <w:sz w:val="24"/>
                <w:szCs w:val="24"/>
              </w:rPr>
            </w:pPr>
            <w:r w:rsidRPr="00CD0AF9">
              <w:rPr>
                <w:b/>
                <w:bCs/>
                <w:sz w:val="24"/>
                <w:szCs w:val="24"/>
              </w:rPr>
              <w:t>0.12</w:t>
            </w:r>
          </w:p>
        </w:tc>
        <w:tc>
          <w:tcPr>
            <w:tcW w:w="1416" w:type="dxa"/>
          </w:tcPr>
          <w:p w:rsidR="000219B0" w:rsidRPr="00CD0AF9" w:rsidRDefault="00A96D46" w:rsidP="00F6429F">
            <w:pPr>
              <w:spacing w:line="360" w:lineRule="auto"/>
              <w:ind w:firstLine="720"/>
              <w:jc w:val="center"/>
              <w:rPr>
                <w:b/>
                <w:bCs/>
                <w:sz w:val="24"/>
                <w:szCs w:val="24"/>
              </w:rPr>
            </w:pPr>
            <w:r w:rsidRPr="00CD0AF9">
              <w:rPr>
                <w:b/>
                <w:bCs/>
                <w:sz w:val="24"/>
                <w:szCs w:val="24"/>
              </w:rPr>
              <w:t>0.23</w:t>
            </w:r>
          </w:p>
        </w:tc>
      </w:tr>
    </w:tbl>
    <w:p w:rsidR="00F6429F" w:rsidRDefault="00F6429F" w:rsidP="00F6429F">
      <w:pPr>
        <w:spacing w:line="360" w:lineRule="auto"/>
        <w:jc w:val="both"/>
        <w:rPr>
          <w:b/>
          <w:bCs/>
          <w:sz w:val="24"/>
          <w:szCs w:val="24"/>
        </w:rPr>
      </w:pPr>
    </w:p>
    <w:p w:rsidR="00F6429F" w:rsidRDefault="00F6429F" w:rsidP="00F6429F">
      <w:pPr>
        <w:spacing w:line="360" w:lineRule="auto"/>
        <w:jc w:val="both"/>
        <w:rPr>
          <w:b/>
          <w:bCs/>
          <w:sz w:val="24"/>
          <w:szCs w:val="24"/>
        </w:rPr>
      </w:pPr>
    </w:p>
    <w:p w:rsidR="00F6429F" w:rsidRDefault="00F6429F" w:rsidP="00F6429F">
      <w:pPr>
        <w:spacing w:line="360" w:lineRule="auto"/>
        <w:jc w:val="both"/>
        <w:rPr>
          <w:b/>
          <w:bCs/>
          <w:sz w:val="24"/>
          <w:szCs w:val="24"/>
        </w:rPr>
      </w:pPr>
      <w:r>
        <w:rPr>
          <w:b/>
          <w:bCs/>
          <w:sz w:val="24"/>
          <w:szCs w:val="24"/>
        </w:rPr>
        <w:t>Ans 2.</w:t>
      </w:r>
    </w:p>
    <w:p w:rsidR="00F826C3" w:rsidRPr="00CD0AF9" w:rsidRDefault="00F826C3" w:rsidP="00F6429F">
      <w:pPr>
        <w:spacing w:line="360" w:lineRule="auto"/>
        <w:jc w:val="both"/>
        <w:rPr>
          <w:b/>
          <w:bCs/>
          <w:sz w:val="24"/>
          <w:szCs w:val="24"/>
        </w:rPr>
      </w:pPr>
      <w:r w:rsidRPr="00CD0AF9">
        <w:rPr>
          <w:b/>
          <w:bCs/>
          <w:sz w:val="24"/>
          <w:szCs w:val="24"/>
        </w:rPr>
        <w:t xml:space="preserve">Introduction </w:t>
      </w:r>
    </w:p>
    <w:p w:rsidR="00053A49" w:rsidRDefault="00F826C3" w:rsidP="008604A5">
      <w:pPr>
        <w:spacing w:line="360" w:lineRule="auto"/>
        <w:jc w:val="both"/>
        <w:rPr>
          <w:sz w:val="24"/>
          <w:szCs w:val="24"/>
        </w:rPr>
      </w:pPr>
      <w:r w:rsidRPr="00CD0AF9">
        <w:rPr>
          <w:sz w:val="24"/>
          <w:szCs w:val="24"/>
        </w:rPr>
        <w:t>William F. Sharpe, winner of the Nobel Prize in economics, is credited with developing the Sharpe ratio, which is a tool utilized by investors to better comprehend the return of an investment in comparison to the risk involved. The ratio is the average return earned over and above the risk-free rate, expressed as a percentage of the total risk or volatility taken on. A measure of the price swings of an asset or portfolio is referred to as its volatility.</w:t>
      </w:r>
      <w:r w:rsidR="008604A5">
        <w:rPr>
          <w:sz w:val="24"/>
          <w:szCs w:val="24"/>
        </w:rPr>
        <w:t xml:space="preserve"> </w:t>
      </w:r>
      <w:r w:rsidR="00446B11" w:rsidRPr="00CD0AF9">
        <w:rPr>
          <w:sz w:val="24"/>
          <w:szCs w:val="24"/>
        </w:rPr>
        <w:t xml:space="preserve">The Sharpe ratio corrects the historical performance of a portfolio, or its predicted future performance, for </w:t>
      </w:r>
    </w:p>
    <w:p w:rsidR="00F6429F" w:rsidRPr="00CD0AF9" w:rsidRDefault="00F6429F" w:rsidP="00F6429F">
      <w:pPr>
        <w:spacing w:line="360" w:lineRule="auto"/>
        <w:jc w:val="both"/>
        <w:rPr>
          <w:sz w:val="24"/>
          <w:szCs w:val="24"/>
        </w:rPr>
      </w:pPr>
    </w:p>
    <w:p w:rsidR="00F6429F" w:rsidRDefault="00F6429F" w:rsidP="00F6429F">
      <w:pPr>
        <w:spacing w:line="360" w:lineRule="auto"/>
        <w:rPr>
          <w:b/>
          <w:bCs/>
          <w:sz w:val="24"/>
          <w:szCs w:val="24"/>
        </w:rPr>
      </w:pPr>
    </w:p>
    <w:p w:rsidR="00F6429F" w:rsidRDefault="00F6429F" w:rsidP="00F6429F">
      <w:pPr>
        <w:spacing w:line="360" w:lineRule="auto"/>
        <w:rPr>
          <w:b/>
          <w:bCs/>
          <w:sz w:val="24"/>
          <w:szCs w:val="24"/>
        </w:rPr>
      </w:pPr>
    </w:p>
    <w:p w:rsidR="00F6429F" w:rsidRDefault="00F6429F" w:rsidP="00F6429F">
      <w:pPr>
        <w:spacing w:line="360" w:lineRule="auto"/>
        <w:rPr>
          <w:b/>
          <w:bCs/>
          <w:sz w:val="24"/>
          <w:szCs w:val="24"/>
        </w:rPr>
      </w:pPr>
    </w:p>
    <w:p w:rsidR="000219B0" w:rsidRPr="00F6429F" w:rsidRDefault="00F6429F" w:rsidP="00F6429F">
      <w:pPr>
        <w:spacing w:line="360" w:lineRule="auto"/>
        <w:rPr>
          <w:b/>
          <w:bCs/>
          <w:sz w:val="24"/>
          <w:szCs w:val="24"/>
        </w:rPr>
      </w:pPr>
      <w:r>
        <w:rPr>
          <w:b/>
          <w:bCs/>
          <w:sz w:val="24"/>
          <w:szCs w:val="24"/>
        </w:rPr>
        <w:t xml:space="preserve">Q3. </w:t>
      </w:r>
      <w:r w:rsidR="000C0BFF" w:rsidRPr="00F6429F">
        <w:rPr>
          <w:b/>
          <w:bCs/>
          <w:sz w:val="24"/>
          <w:szCs w:val="24"/>
        </w:rPr>
        <w:t xml:space="preserve">On seeing the report of </w:t>
      </w:r>
      <w:r w:rsidR="008B454F" w:rsidRPr="00F6429F">
        <w:rPr>
          <w:b/>
          <w:bCs/>
          <w:sz w:val="24"/>
          <w:szCs w:val="24"/>
        </w:rPr>
        <w:t>Company,</w:t>
      </w:r>
      <w:r w:rsidR="000C0BFF" w:rsidRPr="00F6429F">
        <w:rPr>
          <w:b/>
          <w:bCs/>
          <w:sz w:val="24"/>
          <w:szCs w:val="24"/>
        </w:rPr>
        <w:t xml:space="preserve"> A, we found that the “EVA rises 224% to Rs.71 Crore” whereas Company B’s “EVA rises 50% to 548 crore”</w:t>
      </w:r>
    </w:p>
    <w:p w:rsidR="000219B0" w:rsidRPr="00CD0AF9" w:rsidRDefault="00F6429F" w:rsidP="00F6429F">
      <w:pPr>
        <w:pStyle w:val="ListParagraph"/>
        <w:spacing w:line="36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a. </w:t>
      </w:r>
      <w:r w:rsidR="00A96D46" w:rsidRPr="00CD0AF9">
        <w:rPr>
          <w:rFonts w:ascii="Times New Roman" w:hAnsi="Times New Roman" w:cs="Times New Roman"/>
          <w:b/>
          <w:bCs/>
          <w:sz w:val="24"/>
          <w:szCs w:val="24"/>
        </w:rPr>
        <w:t>Define EVA, and discuss its significance.</w:t>
      </w:r>
      <w:r w:rsidR="00A96D46" w:rsidRPr="00CD0AF9">
        <w:rPr>
          <w:rFonts w:ascii="Times New Roman" w:hAnsi="Times New Roman" w:cs="Times New Roman"/>
          <w:b/>
          <w:bCs/>
          <w:sz w:val="24"/>
          <w:szCs w:val="24"/>
        </w:rPr>
        <w:tab/>
        <w:t>(5 Marks)</w:t>
      </w:r>
    </w:p>
    <w:p w:rsidR="00F6429F" w:rsidRDefault="00F6429F" w:rsidP="00F6429F">
      <w:pPr>
        <w:spacing w:line="360" w:lineRule="auto"/>
        <w:jc w:val="both"/>
        <w:rPr>
          <w:b/>
          <w:bCs/>
          <w:sz w:val="24"/>
          <w:szCs w:val="24"/>
        </w:rPr>
      </w:pPr>
    </w:p>
    <w:p w:rsidR="00F6429F" w:rsidRDefault="00F6429F" w:rsidP="00F6429F">
      <w:pPr>
        <w:spacing w:line="360" w:lineRule="auto"/>
        <w:jc w:val="both"/>
        <w:rPr>
          <w:b/>
          <w:bCs/>
          <w:sz w:val="24"/>
          <w:szCs w:val="24"/>
        </w:rPr>
      </w:pPr>
      <w:r>
        <w:rPr>
          <w:b/>
          <w:bCs/>
          <w:sz w:val="24"/>
          <w:szCs w:val="24"/>
        </w:rPr>
        <w:t>Ans 3a.</w:t>
      </w:r>
    </w:p>
    <w:p w:rsidR="00D052A5" w:rsidRPr="00CD0AF9" w:rsidRDefault="00F6429F" w:rsidP="00F6429F">
      <w:pPr>
        <w:spacing w:line="360" w:lineRule="auto"/>
        <w:jc w:val="both"/>
        <w:rPr>
          <w:b/>
          <w:bCs/>
          <w:sz w:val="24"/>
          <w:szCs w:val="24"/>
        </w:rPr>
      </w:pPr>
      <w:r>
        <w:rPr>
          <w:b/>
          <w:bCs/>
          <w:sz w:val="24"/>
          <w:szCs w:val="24"/>
        </w:rPr>
        <w:t>Introduction</w:t>
      </w:r>
      <w:r w:rsidR="00D052A5" w:rsidRPr="00CD0AF9">
        <w:rPr>
          <w:b/>
          <w:bCs/>
          <w:sz w:val="24"/>
          <w:szCs w:val="24"/>
        </w:rPr>
        <w:t xml:space="preserve"> </w:t>
      </w:r>
    </w:p>
    <w:p w:rsidR="00A115CE" w:rsidRDefault="00137E79" w:rsidP="008604A5">
      <w:pPr>
        <w:spacing w:line="360" w:lineRule="auto"/>
        <w:jc w:val="both"/>
        <w:rPr>
          <w:sz w:val="24"/>
          <w:szCs w:val="24"/>
        </w:rPr>
      </w:pPr>
      <w:r w:rsidRPr="00CD0AF9">
        <w:rPr>
          <w:sz w:val="24"/>
          <w:szCs w:val="24"/>
        </w:rPr>
        <w:t xml:space="preserve">The incremental difference between a company's rate of return (RoR) and its cost of capital is called EVA. It basically serves as a gauge for the value that investments in a firm produce. A negative EVA indicates that a company is not making money from the capital put in the enterprise. A corporation is demonstrating value from the money invested in it if its EVA is </w:t>
      </w:r>
    </w:p>
    <w:p w:rsidR="00F6429F" w:rsidRPr="00CD0AF9" w:rsidRDefault="00F6429F" w:rsidP="00F6429F">
      <w:pPr>
        <w:spacing w:line="360" w:lineRule="auto"/>
        <w:jc w:val="both"/>
        <w:rPr>
          <w:sz w:val="24"/>
          <w:szCs w:val="24"/>
        </w:rPr>
      </w:pPr>
    </w:p>
    <w:p w:rsidR="000219B0" w:rsidRPr="00CD0AF9" w:rsidRDefault="000219B0" w:rsidP="00F6429F">
      <w:pPr>
        <w:spacing w:line="360" w:lineRule="auto"/>
        <w:ind w:firstLine="720"/>
        <w:jc w:val="both"/>
        <w:rPr>
          <w:sz w:val="24"/>
          <w:szCs w:val="24"/>
        </w:rPr>
      </w:pPr>
    </w:p>
    <w:p w:rsidR="000219B0" w:rsidRDefault="00F6429F" w:rsidP="00F6429F">
      <w:pPr>
        <w:spacing w:line="360" w:lineRule="auto"/>
        <w:rPr>
          <w:b/>
          <w:bCs/>
          <w:sz w:val="24"/>
          <w:szCs w:val="24"/>
        </w:rPr>
      </w:pPr>
      <w:r>
        <w:rPr>
          <w:b/>
          <w:bCs/>
          <w:sz w:val="24"/>
          <w:szCs w:val="24"/>
        </w:rPr>
        <w:t xml:space="preserve">b. </w:t>
      </w:r>
      <w:r w:rsidR="00A96D46" w:rsidRPr="00F6429F">
        <w:rPr>
          <w:b/>
          <w:bCs/>
          <w:sz w:val="24"/>
          <w:szCs w:val="24"/>
        </w:rPr>
        <w:t>Comparatively analyze EVA in relation with measures like EPS or ROE? Is EVA suitable in Indian Context?</w:t>
      </w:r>
      <w:r w:rsidR="00A96D46" w:rsidRPr="00F6429F">
        <w:rPr>
          <w:b/>
          <w:bCs/>
          <w:sz w:val="24"/>
          <w:szCs w:val="24"/>
        </w:rPr>
        <w:tab/>
        <w:t>(5 Marks)</w:t>
      </w:r>
    </w:p>
    <w:p w:rsidR="00F6429F" w:rsidRDefault="00F6429F" w:rsidP="00F6429F">
      <w:pPr>
        <w:spacing w:line="360" w:lineRule="auto"/>
        <w:rPr>
          <w:b/>
          <w:bCs/>
          <w:sz w:val="24"/>
          <w:szCs w:val="24"/>
        </w:rPr>
      </w:pPr>
    </w:p>
    <w:p w:rsidR="00F6429F" w:rsidRDefault="00F6429F" w:rsidP="00F6429F">
      <w:pPr>
        <w:spacing w:line="360" w:lineRule="auto"/>
        <w:rPr>
          <w:b/>
          <w:bCs/>
          <w:sz w:val="24"/>
          <w:szCs w:val="24"/>
        </w:rPr>
      </w:pPr>
      <w:r>
        <w:rPr>
          <w:b/>
          <w:bCs/>
          <w:sz w:val="24"/>
          <w:szCs w:val="24"/>
        </w:rPr>
        <w:t>Ans 3b.</w:t>
      </w:r>
    </w:p>
    <w:p w:rsidR="00F6429F" w:rsidRDefault="00F6429F" w:rsidP="00F6429F">
      <w:pPr>
        <w:spacing w:line="360" w:lineRule="auto"/>
        <w:jc w:val="both"/>
        <w:rPr>
          <w:b/>
          <w:bCs/>
          <w:sz w:val="24"/>
          <w:szCs w:val="24"/>
        </w:rPr>
      </w:pPr>
      <w:r>
        <w:rPr>
          <w:b/>
          <w:bCs/>
          <w:sz w:val="24"/>
          <w:szCs w:val="24"/>
        </w:rPr>
        <w:t>Introduction</w:t>
      </w:r>
    </w:p>
    <w:p w:rsidR="008604A5" w:rsidRPr="00CD0AF9" w:rsidRDefault="00487A22" w:rsidP="008604A5">
      <w:pPr>
        <w:spacing w:line="360" w:lineRule="auto"/>
        <w:jc w:val="both"/>
        <w:rPr>
          <w:color w:val="222222"/>
          <w:sz w:val="24"/>
          <w:szCs w:val="24"/>
          <w:shd w:val="clear" w:color="auto" w:fill="FFFFFF"/>
        </w:rPr>
      </w:pPr>
      <w:r w:rsidRPr="00CD0AF9">
        <w:rPr>
          <w:sz w:val="24"/>
          <w:szCs w:val="24"/>
        </w:rPr>
        <w:t xml:space="preserve">According to Laing (2015), comparing the coefficients of determination (R2) reveals that the EPS is significantly related whereas the ROE is not. More crucially, the EVA coefficient is not significant, hence the null hypothesis cannot be rejected, but rather upheld. That is, EVA's </w:t>
      </w:r>
    </w:p>
    <w:p w:rsidR="00C50285" w:rsidRPr="00CD0AF9" w:rsidRDefault="00C50285" w:rsidP="00F6429F">
      <w:pPr>
        <w:spacing w:line="360" w:lineRule="auto"/>
        <w:ind w:left="720" w:hanging="720"/>
        <w:jc w:val="both"/>
        <w:rPr>
          <w:color w:val="222222"/>
          <w:sz w:val="24"/>
          <w:szCs w:val="24"/>
          <w:shd w:val="clear" w:color="auto" w:fill="FFFFFF"/>
        </w:rPr>
      </w:pPr>
      <w:r w:rsidRPr="00CD0AF9">
        <w:rPr>
          <w:color w:val="222222"/>
          <w:sz w:val="24"/>
          <w:szCs w:val="24"/>
          <w:shd w:val="clear" w:color="auto" w:fill="FFFFFF"/>
        </w:rPr>
        <w:t>behavioral finance: A review of rationality to irrationality. Materials Today: Proceedings.</w:t>
      </w:r>
    </w:p>
    <w:p w:rsidR="00C50285" w:rsidRPr="00CD0AF9" w:rsidRDefault="00C50285" w:rsidP="00F6429F">
      <w:pPr>
        <w:spacing w:line="360" w:lineRule="auto"/>
        <w:jc w:val="both"/>
        <w:rPr>
          <w:sz w:val="24"/>
          <w:szCs w:val="24"/>
        </w:rPr>
      </w:pPr>
    </w:p>
    <w:sectPr w:rsidR="00C50285" w:rsidRPr="00CD0AF9" w:rsidSect="007027B8">
      <w:headerReference w:type="default" r:id="rId10"/>
      <w:type w:val="continuous"/>
      <w:pgSz w:w="11910" w:h="16840"/>
      <w:pgMar w:top="720" w:right="1560" w:bottom="900" w:left="130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74" w:rsidRDefault="00A15274">
      <w:r>
        <w:separator/>
      </w:r>
    </w:p>
  </w:endnote>
  <w:endnote w:type="continuationSeparator" w:id="1">
    <w:p w:rsidR="00A15274" w:rsidRDefault="00A15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74" w:rsidRDefault="00A15274">
      <w:r>
        <w:separator/>
      </w:r>
    </w:p>
  </w:footnote>
  <w:footnote w:type="continuationSeparator" w:id="1">
    <w:p w:rsidR="00A15274" w:rsidRDefault="00A15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9B0" w:rsidRDefault="000219B0">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5401"/>
    <w:multiLevelType w:val="multilevel"/>
    <w:tmpl w:val="F052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A1F5E"/>
    <w:multiLevelType w:val="hybridMultilevel"/>
    <w:tmpl w:val="100CF930"/>
    <w:lvl w:ilvl="0" w:tplc="37DC6660">
      <w:numFmt w:val="bullet"/>
      <w:lvlText w:val=""/>
      <w:lvlJc w:val="left"/>
      <w:pPr>
        <w:ind w:left="853" w:hanging="356"/>
      </w:pPr>
      <w:rPr>
        <w:rFonts w:ascii="Symbol" w:eastAsia="Symbol" w:hAnsi="Symbol" w:cs="Symbol" w:hint="default"/>
        <w:w w:val="100"/>
        <w:sz w:val="22"/>
        <w:szCs w:val="22"/>
        <w:lang w:val="en-US" w:eastAsia="en-US" w:bidi="ar-SA"/>
      </w:rPr>
    </w:lvl>
    <w:lvl w:ilvl="1" w:tplc="DC986914">
      <w:numFmt w:val="bullet"/>
      <w:lvlText w:val="•"/>
      <w:lvlJc w:val="left"/>
      <w:pPr>
        <w:ind w:left="1678" w:hanging="356"/>
      </w:pPr>
      <w:rPr>
        <w:rFonts w:hint="default"/>
        <w:lang w:val="en-US" w:eastAsia="en-US" w:bidi="ar-SA"/>
      </w:rPr>
    </w:lvl>
    <w:lvl w:ilvl="2" w:tplc="C28AC35C">
      <w:numFmt w:val="bullet"/>
      <w:lvlText w:val="•"/>
      <w:lvlJc w:val="left"/>
      <w:pPr>
        <w:ind w:left="2497" w:hanging="356"/>
      </w:pPr>
      <w:rPr>
        <w:rFonts w:hint="default"/>
        <w:lang w:val="en-US" w:eastAsia="en-US" w:bidi="ar-SA"/>
      </w:rPr>
    </w:lvl>
    <w:lvl w:ilvl="3" w:tplc="565C7D18">
      <w:numFmt w:val="bullet"/>
      <w:lvlText w:val="•"/>
      <w:lvlJc w:val="left"/>
      <w:pPr>
        <w:ind w:left="3315" w:hanging="356"/>
      </w:pPr>
      <w:rPr>
        <w:rFonts w:hint="default"/>
        <w:lang w:val="en-US" w:eastAsia="en-US" w:bidi="ar-SA"/>
      </w:rPr>
    </w:lvl>
    <w:lvl w:ilvl="4" w:tplc="95847B96">
      <w:numFmt w:val="bullet"/>
      <w:lvlText w:val="•"/>
      <w:lvlJc w:val="left"/>
      <w:pPr>
        <w:ind w:left="4134" w:hanging="356"/>
      </w:pPr>
      <w:rPr>
        <w:rFonts w:hint="default"/>
        <w:lang w:val="en-US" w:eastAsia="en-US" w:bidi="ar-SA"/>
      </w:rPr>
    </w:lvl>
    <w:lvl w:ilvl="5" w:tplc="A620ACC0">
      <w:numFmt w:val="bullet"/>
      <w:lvlText w:val="•"/>
      <w:lvlJc w:val="left"/>
      <w:pPr>
        <w:ind w:left="4953" w:hanging="356"/>
      </w:pPr>
      <w:rPr>
        <w:rFonts w:hint="default"/>
        <w:lang w:val="en-US" w:eastAsia="en-US" w:bidi="ar-SA"/>
      </w:rPr>
    </w:lvl>
    <w:lvl w:ilvl="6" w:tplc="D68C6FF2">
      <w:numFmt w:val="bullet"/>
      <w:lvlText w:val="•"/>
      <w:lvlJc w:val="left"/>
      <w:pPr>
        <w:ind w:left="5771" w:hanging="356"/>
      </w:pPr>
      <w:rPr>
        <w:rFonts w:hint="default"/>
        <w:lang w:val="en-US" w:eastAsia="en-US" w:bidi="ar-SA"/>
      </w:rPr>
    </w:lvl>
    <w:lvl w:ilvl="7" w:tplc="009248A6">
      <w:numFmt w:val="bullet"/>
      <w:lvlText w:val="•"/>
      <w:lvlJc w:val="left"/>
      <w:pPr>
        <w:ind w:left="6590" w:hanging="356"/>
      </w:pPr>
      <w:rPr>
        <w:rFonts w:hint="default"/>
        <w:lang w:val="en-US" w:eastAsia="en-US" w:bidi="ar-SA"/>
      </w:rPr>
    </w:lvl>
    <w:lvl w:ilvl="8" w:tplc="9716B24A">
      <w:numFmt w:val="bullet"/>
      <w:lvlText w:val="•"/>
      <w:lvlJc w:val="left"/>
      <w:pPr>
        <w:ind w:left="7409" w:hanging="356"/>
      </w:pPr>
      <w:rPr>
        <w:rFonts w:hint="default"/>
        <w:lang w:val="en-US" w:eastAsia="en-US" w:bidi="ar-SA"/>
      </w:rPr>
    </w:lvl>
  </w:abstractNum>
  <w:abstractNum w:abstractNumId="2">
    <w:nsid w:val="38ED299D"/>
    <w:multiLevelType w:val="hybridMultilevel"/>
    <w:tmpl w:val="878EEE42"/>
    <w:lvl w:ilvl="0" w:tplc="E5AED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0B093E"/>
    <w:multiLevelType w:val="hybridMultilevel"/>
    <w:tmpl w:val="94FE7AF6"/>
    <w:lvl w:ilvl="0" w:tplc="9524F38E">
      <w:start w:val="1"/>
      <w:numFmt w:val="decimal"/>
      <w:lvlText w:val="%1."/>
      <w:lvlJc w:val="left"/>
      <w:pPr>
        <w:ind w:left="423" w:hanging="284"/>
      </w:pPr>
      <w:rPr>
        <w:rFonts w:hint="default"/>
        <w:b/>
        <w:bCs/>
        <w:w w:val="100"/>
        <w:lang w:val="en-US" w:eastAsia="en-US" w:bidi="ar-SA"/>
      </w:rPr>
    </w:lvl>
    <w:lvl w:ilvl="1" w:tplc="355C64D6">
      <w:start w:val="1"/>
      <w:numFmt w:val="lowerLetter"/>
      <w:lvlText w:val="%2."/>
      <w:lvlJc w:val="left"/>
      <w:pPr>
        <w:ind w:left="423" w:hanging="284"/>
      </w:pPr>
      <w:rPr>
        <w:rFonts w:ascii="Times New Roman" w:eastAsia="Times New Roman" w:hAnsi="Times New Roman" w:cs="Times New Roman" w:hint="default"/>
        <w:b/>
        <w:bCs/>
        <w:w w:val="100"/>
        <w:sz w:val="24"/>
        <w:szCs w:val="24"/>
        <w:lang w:val="en-US" w:eastAsia="en-US" w:bidi="ar-SA"/>
      </w:rPr>
    </w:lvl>
    <w:lvl w:ilvl="2" w:tplc="04ACB022">
      <w:numFmt w:val="bullet"/>
      <w:lvlText w:val="•"/>
      <w:lvlJc w:val="left"/>
      <w:pPr>
        <w:ind w:left="2145" w:hanging="284"/>
      </w:pPr>
      <w:rPr>
        <w:rFonts w:hint="default"/>
        <w:lang w:val="en-US" w:eastAsia="en-US" w:bidi="ar-SA"/>
      </w:rPr>
    </w:lvl>
    <w:lvl w:ilvl="3" w:tplc="AA18C62C">
      <w:numFmt w:val="bullet"/>
      <w:lvlText w:val="•"/>
      <w:lvlJc w:val="left"/>
      <w:pPr>
        <w:ind w:left="3007" w:hanging="284"/>
      </w:pPr>
      <w:rPr>
        <w:rFonts w:hint="default"/>
        <w:lang w:val="en-US" w:eastAsia="en-US" w:bidi="ar-SA"/>
      </w:rPr>
    </w:lvl>
    <w:lvl w:ilvl="4" w:tplc="118CAA28">
      <w:numFmt w:val="bullet"/>
      <w:lvlText w:val="•"/>
      <w:lvlJc w:val="left"/>
      <w:pPr>
        <w:ind w:left="3870" w:hanging="284"/>
      </w:pPr>
      <w:rPr>
        <w:rFonts w:hint="default"/>
        <w:lang w:val="en-US" w:eastAsia="en-US" w:bidi="ar-SA"/>
      </w:rPr>
    </w:lvl>
    <w:lvl w:ilvl="5" w:tplc="68A05B48">
      <w:numFmt w:val="bullet"/>
      <w:lvlText w:val="•"/>
      <w:lvlJc w:val="left"/>
      <w:pPr>
        <w:ind w:left="4733" w:hanging="284"/>
      </w:pPr>
      <w:rPr>
        <w:rFonts w:hint="default"/>
        <w:lang w:val="en-US" w:eastAsia="en-US" w:bidi="ar-SA"/>
      </w:rPr>
    </w:lvl>
    <w:lvl w:ilvl="6" w:tplc="2CF05D1C">
      <w:numFmt w:val="bullet"/>
      <w:lvlText w:val="•"/>
      <w:lvlJc w:val="left"/>
      <w:pPr>
        <w:ind w:left="5595" w:hanging="284"/>
      </w:pPr>
      <w:rPr>
        <w:rFonts w:hint="default"/>
        <w:lang w:val="en-US" w:eastAsia="en-US" w:bidi="ar-SA"/>
      </w:rPr>
    </w:lvl>
    <w:lvl w:ilvl="7" w:tplc="88CA55F4">
      <w:numFmt w:val="bullet"/>
      <w:lvlText w:val="•"/>
      <w:lvlJc w:val="left"/>
      <w:pPr>
        <w:ind w:left="6458" w:hanging="284"/>
      </w:pPr>
      <w:rPr>
        <w:rFonts w:hint="default"/>
        <w:lang w:val="en-US" w:eastAsia="en-US" w:bidi="ar-SA"/>
      </w:rPr>
    </w:lvl>
    <w:lvl w:ilvl="8" w:tplc="EFB6DC04">
      <w:numFmt w:val="bullet"/>
      <w:lvlText w:val="•"/>
      <w:lvlJc w:val="left"/>
      <w:pPr>
        <w:ind w:left="7321" w:hanging="284"/>
      </w:pPr>
      <w:rPr>
        <w:rFonts w:hint="default"/>
        <w:lang w:val="en-US" w:eastAsia="en-US" w:bidi="ar-SA"/>
      </w:rPr>
    </w:lvl>
  </w:abstractNum>
  <w:abstractNum w:abstractNumId="4">
    <w:nsid w:val="3DA76300"/>
    <w:multiLevelType w:val="hybridMultilevel"/>
    <w:tmpl w:val="0E645592"/>
    <w:lvl w:ilvl="0" w:tplc="95B480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CA1580"/>
    <w:multiLevelType w:val="multilevel"/>
    <w:tmpl w:val="0CC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IwsTAzMTA1MTG2NDVR0lEKTi0uzszPAykwqgUA0pPw9CwAAAA="/>
  </w:docVars>
  <w:rsids>
    <w:rsidRoot w:val="000219B0"/>
    <w:rsid w:val="0001715A"/>
    <w:rsid w:val="000219B0"/>
    <w:rsid w:val="00053A49"/>
    <w:rsid w:val="000C0BFF"/>
    <w:rsid w:val="000C7F7F"/>
    <w:rsid w:val="000D7288"/>
    <w:rsid w:val="001134E3"/>
    <w:rsid w:val="00137E79"/>
    <w:rsid w:val="0014516E"/>
    <w:rsid w:val="0018124D"/>
    <w:rsid w:val="001868F5"/>
    <w:rsid w:val="001C0298"/>
    <w:rsid w:val="001D4AA6"/>
    <w:rsid w:val="00272E46"/>
    <w:rsid w:val="00286B80"/>
    <w:rsid w:val="002B1EF2"/>
    <w:rsid w:val="003F7787"/>
    <w:rsid w:val="00446B11"/>
    <w:rsid w:val="00450098"/>
    <w:rsid w:val="00487A22"/>
    <w:rsid w:val="004A163F"/>
    <w:rsid w:val="004E07E8"/>
    <w:rsid w:val="00545413"/>
    <w:rsid w:val="00596616"/>
    <w:rsid w:val="005E562D"/>
    <w:rsid w:val="006D3331"/>
    <w:rsid w:val="007027B8"/>
    <w:rsid w:val="00765258"/>
    <w:rsid w:val="00775439"/>
    <w:rsid w:val="00782FB6"/>
    <w:rsid w:val="00797508"/>
    <w:rsid w:val="007B2BF7"/>
    <w:rsid w:val="007D231B"/>
    <w:rsid w:val="0084269E"/>
    <w:rsid w:val="008604A5"/>
    <w:rsid w:val="00883DFC"/>
    <w:rsid w:val="008961A9"/>
    <w:rsid w:val="008B454F"/>
    <w:rsid w:val="008E026A"/>
    <w:rsid w:val="008F32AC"/>
    <w:rsid w:val="009A5B58"/>
    <w:rsid w:val="00A115CE"/>
    <w:rsid w:val="00A15274"/>
    <w:rsid w:val="00A96D46"/>
    <w:rsid w:val="00AB144A"/>
    <w:rsid w:val="00AE214B"/>
    <w:rsid w:val="00B2007F"/>
    <w:rsid w:val="00B372F5"/>
    <w:rsid w:val="00B73AD1"/>
    <w:rsid w:val="00BF5DC8"/>
    <w:rsid w:val="00C25EAC"/>
    <w:rsid w:val="00C50285"/>
    <w:rsid w:val="00CD0AF9"/>
    <w:rsid w:val="00D052A5"/>
    <w:rsid w:val="00D433A7"/>
    <w:rsid w:val="00D47AAE"/>
    <w:rsid w:val="00DF5754"/>
    <w:rsid w:val="00E24BE6"/>
    <w:rsid w:val="00E4534F"/>
    <w:rsid w:val="00E80BD1"/>
    <w:rsid w:val="00EA4074"/>
    <w:rsid w:val="00EE6D18"/>
    <w:rsid w:val="00F135FD"/>
    <w:rsid w:val="00F459EB"/>
    <w:rsid w:val="00F6429F"/>
    <w:rsid w:val="00F826C3"/>
    <w:rsid w:val="00FA2EDB"/>
    <w:rsid w:val="00FB3006"/>
    <w:rsid w:val="00FF6E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5A"/>
    <w:rPr>
      <w:rFonts w:ascii="Times New Roman" w:eastAsia="Times New Roman" w:hAnsi="Times New Roman" w:cs="Times New Roman"/>
    </w:rPr>
  </w:style>
  <w:style w:type="paragraph" w:styleId="Heading2">
    <w:name w:val="heading 2"/>
    <w:basedOn w:val="Normal"/>
    <w:link w:val="Heading2Char"/>
    <w:uiPriority w:val="9"/>
    <w:qFormat/>
    <w:rsid w:val="007D231B"/>
    <w:pPr>
      <w:widowControl/>
      <w:autoSpaceDE/>
      <w:autoSpaceDN/>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715A"/>
    <w:rPr>
      <w:sz w:val="24"/>
      <w:szCs w:val="24"/>
    </w:rPr>
  </w:style>
  <w:style w:type="paragraph" w:styleId="ListParagraph">
    <w:name w:val="List Paragraph"/>
    <w:basedOn w:val="Normal"/>
    <w:uiPriority w:val="1"/>
    <w:qFormat/>
    <w:rsid w:val="0001715A"/>
    <w:pPr>
      <w:ind w:left="853" w:hanging="356"/>
      <w:jc w:val="both"/>
    </w:pPr>
    <w:rPr>
      <w:rFonts w:ascii="Calibri" w:eastAsia="Calibri" w:hAnsi="Calibri" w:cs="Calibri"/>
    </w:rPr>
  </w:style>
  <w:style w:type="paragraph" w:customStyle="1" w:styleId="TableParagraph">
    <w:name w:val="Table Paragraph"/>
    <w:basedOn w:val="Normal"/>
    <w:uiPriority w:val="1"/>
    <w:qFormat/>
    <w:rsid w:val="0001715A"/>
    <w:pPr>
      <w:spacing w:line="268" w:lineRule="exact"/>
      <w:ind w:left="107"/>
    </w:pPr>
    <w:rPr>
      <w:rFonts w:ascii="Calibri" w:eastAsia="Calibri" w:hAnsi="Calibri" w:cs="Calibri"/>
    </w:rPr>
  </w:style>
  <w:style w:type="character" w:styleId="Hyperlink">
    <w:name w:val="Hyperlink"/>
    <w:basedOn w:val="DefaultParagraphFont"/>
    <w:uiPriority w:val="99"/>
    <w:unhideWhenUsed/>
    <w:rsid w:val="000C7F7F"/>
    <w:rPr>
      <w:color w:val="0000FF"/>
      <w:u w:val="single"/>
    </w:rPr>
  </w:style>
  <w:style w:type="paragraph" w:customStyle="1" w:styleId="comp">
    <w:name w:val="comp"/>
    <w:basedOn w:val="Normal"/>
    <w:rsid w:val="006D3331"/>
    <w:pPr>
      <w:widowControl/>
      <w:autoSpaceDE/>
      <w:autoSpaceDN/>
      <w:spacing w:before="100" w:beforeAutospacing="1" w:after="100" w:afterAutospacing="1"/>
    </w:pPr>
    <w:rPr>
      <w:sz w:val="24"/>
      <w:szCs w:val="24"/>
    </w:rPr>
  </w:style>
  <w:style w:type="character" w:customStyle="1" w:styleId="mntl-inline-citation">
    <w:name w:val="mntl-inline-citation"/>
    <w:basedOn w:val="DefaultParagraphFont"/>
    <w:rsid w:val="006D3331"/>
  </w:style>
  <w:style w:type="character" w:styleId="Strong">
    <w:name w:val="Strong"/>
    <w:basedOn w:val="DefaultParagraphFont"/>
    <w:uiPriority w:val="22"/>
    <w:qFormat/>
    <w:rsid w:val="006D3331"/>
    <w:rPr>
      <w:b/>
      <w:bCs/>
    </w:rPr>
  </w:style>
  <w:style w:type="character" w:customStyle="1" w:styleId="Heading2Char">
    <w:name w:val="Heading 2 Char"/>
    <w:basedOn w:val="DefaultParagraphFont"/>
    <w:link w:val="Heading2"/>
    <w:uiPriority w:val="9"/>
    <w:rsid w:val="007D231B"/>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7D231B"/>
  </w:style>
  <w:style w:type="character" w:customStyle="1" w:styleId="katex-mathml">
    <w:name w:val="katex-mathml"/>
    <w:basedOn w:val="DefaultParagraphFont"/>
    <w:rsid w:val="00F826C3"/>
  </w:style>
  <w:style w:type="character" w:customStyle="1" w:styleId="mord">
    <w:name w:val="mord"/>
    <w:basedOn w:val="DefaultParagraphFont"/>
    <w:rsid w:val="00F826C3"/>
  </w:style>
  <w:style w:type="character" w:customStyle="1" w:styleId="vlist-s">
    <w:name w:val="vlist-s"/>
    <w:basedOn w:val="DefaultParagraphFont"/>
    <w:rsid w:val="00F826C3"/>
  </w:style>
  <w:style w:type="character" w:customStyle="1" w:styleId="mrel">
    <w:name w:val="mrel"/>
    <w:basedOn w:val="DefaultParagraphFont"/>
    <w:rsid w:val="00F826C3"/>
  </w:style>
  <w:style w:type="character" w:customStyle="1" w:styleId="mbin">
    <w:name w:val="mbin"/>
    <w:basedOn w:val="DefaultParagraphFont"/>
    <w:rsid w:val="00F826C3"/>
  </w:style>
  <w:style w:type="character" w:styleId="PlaceholderText">
    <w:name w:val="Placeholder Text"/>
    <w:basedOn w:val="DefaultParagraphFont"/>
    <w:uiPriority w:val="99"/>
    <w:semiHidden/>
    <w:rsid w:val="00F826C3"/>
    <w:rPr>
      <w:color w:val="808080"/>
    </w:rPr>
  </w:style>
  <w:style w:type="paragraph" w:styleId="Header">
    <w:name w:val="header"/>
    <w:basedOn w:val="Normal"/>
    <w:link w:val="HeaderChar"/>
    <w:uiPriority w:val="99"/>
    <w:semiHidden/>
    <w:unhideWhenUsed/>
    <w:rsid w:val="007027B8"/>
    <w:pPr>
      <w:tabs>
        <w:tab w:val="center" w:pos="4680"/>
        <w:tab w:val="right" w:pos="9360"/>
      </w:tabs>
    </w:pPr>
  </w:style>
  <w:style w:type="character" w:customStyle="1" w:styleId="HeaderChar">
    <w:name w:val="Header Char"/>
    <w:basedOn w:val="DefaultParagraphFont"/>
    <w:link w:val="Header"/>
    <w:uiPriority w:val="99"/>
    <w:semiHidden/>
    <w:rsid w:val="007027B8"/>
    <w:rPr>
      <w:rFonts w:ascii="Times New Roman" w:eastAsia="Times New Roman" w:hAnsi="Times New Roman" w:cs="Times New Roman"/>
    </w:rPr>
  </w:style>
  <w:style w:type="paragraph" w:styleId="Footer">
    <w:name w:val="footer"/>
    <w:basedOn w:val="Normal"/>
    <w:link w:val="FooterChar"/>
    <w:uiPriority w:val="99"/>
    <w:semiHidden/>
    <w:unhideWhenUsed/>
    <w:rsid w:val="007027B8"/>
    <w:pPr>
      <w:tabs>
        <w:tab w:val="center" w:pos="4680"/>
        <w:tab w:val="right" w:pos="9360"/>
      </w:tabs>
    </w:pPr>
  </w:style>
  <w:style w:type="character" w:customStyle="1" w:styleId="FooterChar">
    <w:name w:val="Footer Char"/>
    <w:basedOn w:val="DefaultParagraphFont"/>
    <w:link w:val="Footer"/>
    <w:uiPriority w:val="99"/>
    <w:semiHidden/>
    <w:rsid w:val="007027B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027B8"/>
    <w:rPr>
      <w:rFonts w:ascii="Tahoma" w:hAnsi="Tahoma" w:cs="Tahoma"/>
      <w:sz w:val="16"/>
      <w:szCs w:val="16"/>
    </w:rPr>
  </w:style>
  <w:style w:type="character" w:customStyle="1" w:styleId="BalloonTextChar">
    <w:name w:val="Balloon Text Char"/>
    <w:basedOn w:val="DefaultParagraphFont"/>
    <w:link w:val="BalloonText"/>
    <w:uiPriority w:val="99"/>
    <w:semiHidden/>
    <w:rsid w:val="007027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31453">
      <w:bodyDiv w:val="1"/>
      <w:marLeft w:val="0"/>
      <w:marRight w:val="0"/>
      <w:marTop w:val="0"/>
      <w:marBottom w:val="0"/>
      <w:divBdr>
        <w:top w:val="none" w:sz="0" w:space="0" w:color="auto"/>
        <w:left w:val="none" w:sz="0" w:space="0" w:color="auto"/>
        <w:bottom w:val="none" w:sz="0" w:space="0" w:color="auto"/>
        <w:right w:val="none" w:sz="0" w:space="0" w:color="auto"/>
      </w:divBdr>
    </w:div>
    <w:div w:id="863135861">
      <w:bodyDiv w:val="1"/>
      <w:marLeft w:val="0"/>
      <w:marRight w:val="0"/>
      <w:marTop w:val="0"/>
      <w:marBottom w:val="0"/>
      <w:divBdr>
        <w:top w:val="none" w:sz="0" w:space="0" w:color="auto"/>
        <w:left w:val="none" w:sz="0" w:space="0" w:color="auto"/>
        <w:bottom w:val="none" w:sz="0" w:space="0" w:color="auto"/>
        <w:right w:val="none" w:sz="0" w:space="0" w:color="auto"/>
      </w:divBdr>
    </w:div>
    <w:div w:id="880363583">
      <w:bodyDiv w:val="1"/>
      <w:marLeft w:val="0"/>
      <w:marRight w:val="0"/>
      <w:marTop w:val="0"/>
      <w:marBottom w:val="0"/>
      <w:divBdr>
        <w:top w:val="none" w:sz="0" w:space="0" w:color="auto"/>
        <w:left w:val="none" w:sz="0" w:space="0" w:color="auto"/>
        <w:bottom w:val="none" w:sz="0" w:space="0" w:color="auto"/>
        <w:right w:val="none" w:sz="0" w:space="0" w:color="auto"/>
      </w:divBdr>
    </w:div>
    <w:div w:id="1204445006">
      <w:bodyDiv w:val="1"/>
      <w:marLeft w:val="0"/>
      <w:marRight w:val="0"/>
      <w:marTop w:val="0"/>
      <w:marBottom w:val="0"/>
      <w:divBdr>
        <w:top w:val="none" w:sz="0" w:space="0" w:color="auto"/>
        <w:left w:val="none" w:sz="0" w:space="0" w:color="auto"/>
        <w:bottom w:val="none" w:sz="0" w:space="0" w:color="auto"/>
        <w:right w:val="none" w:sz="0" w:space="0" w:color="auto"/>
      </w:divBdr>
    </w:div>
    <w:div w:id="1444955763">
      <w:bodyDiv w:val="1"/>
      <w:marLeft w:val="0"/>
      <w:marRight w:val="0"/>
      <w:marTop w:val="0"/>
      <w:marBottom w:val="0"/>
      <w:divBdr>
        <w:top w:val="none" w:sz="0" w:space="0" w:color="auto"/>
        <w:left w:val="none" w:sz="0" w:space="0" w:color="auto"/>
        <w:bottom w:val="none" w:sz="0" w:space="0" w:color="auto"/>
        <w:right w:val="none" w:sz="0" w:space="0" w:color="auto"/>
      </w:divBdr>
    </w:div>
    <w:div w:id="1704595040">
      <w:bodyDiv w:val="1"/>
      <w:marLeft w:val="0"/>
      <w:marRight w:val="0"/>
      <w:marTop w:val="0"/>
      <w:marBottom w:val="0"/>
      <w:divBdr>
        <w:top w:val="none" w:sz="0" w:space="0" w:color="auto"/>
        <w:left w:val="none" w:sz="0" w:space="0" w:color="auto"/>
        <w:bottom w:val="none" w:sz="0" w:space="0" w:color="auto"/>
        <w:right w:val="none" w:sz="0" w:space="0" w:color="auto"/>
      </w:divBdr>
    </w:div>
    <w:div w:id="1857190074">
      <w:bodyDiv w:val="1"/>
      <w:marLeft w:val="0"/>
      <w:marRight w:val="0"/>
      <w:marTop w:val="0"/>
      <w:marBottom w:val="0"/>
      <w:divBdr>
        <w:top w:val="none" w:sz="0" w:space="0" w:color="auto"/>
        <w:left w:val="none" w:sz="0" w:space="0" w:color="auto"/>
        <w:bottom w:val="none" w:sz="0" w:space="0" w:color="auto"/>
        <w:right w:val="none" w:sz="0" w:space="0" w:color="auto"/>
      </w:divBdr>
    </w:div>
    <w:div w:id="1890261479">
      <w:bodyDiv w:val="1"/>
      <w:marLeft w:val="0"/>
      <w:marRight w:val="0"/>
      <w:marTop w:val="0"/>
      <w:marBottom w:val="0"/>
      <w:divBdr>
        <w:top w:val="none" w:sz="0" w:space="0" w:color="auto"/>
        <w:left w:val="none" w:sz="0" w:space="0" w:color="auto"/>
        <w:bottom w:val="none" w:sz="0" w:space="0" w:color="auto"/>
        <w:right w:val="none" w:sz="0" w:space="0" w:color="auto"/>
      </w:divBdr>
    </w:div>
    <w:div w:id="2005162898">
      <w:bodyDiv w:val="1"/>
      <w:marLeft w:val="0"/>
      <w:marRight w:val="0"/>
      <w:marTop w:val="0"/>
      <w:marBottom w:val="0"/>
      <w:divBdr>
        <w:top w:val="none" w:sz="0" w:space="0" w:color="auto"/>
        <w:left w:val="none" w:sz="0" w:space="0" w:color="auto"/>
        <w:bottom w:val="none" w:sz="0" w:space="0" w:color="auto"/>
        <w:right w:val="none" w:sz="0" w:space="0" w:color="auto"/>
      </w:divBdr>
    </w:div>
    <w:div w:id="2032291892">
      <w:bodyDiv w:val="1"/>
      <w:marLeft w:val="0"/>
      <w:marRight w:val="0"/>
      <w:marTop w:val="0"/>
      <w:marBottom w:val="0"/>
      <w:divBdr>
        <w:top w:val="none" w:sz="0" w:space="0" w:color="auto"/>
        <w:left w:val="none" w:sz="0" w:space="0" w:color="auto"/>
        <w:bottom w:val="none" w:sz="0" w:space="0" w:color="auto"/>
        <w:right w:val="none" w:sz="0" w:space="0" w:color="auto"/>
      </w:divBdr>
    </w:div>
    <w:div w:id="2068407728">
      <w:bodyDiv w:val="1"/>
      <w:marLeft w:val="0"/>
      <w:marRight w:val="0"/>
      <w:marTop w:val="0"/>
      <w:marBottom w:val="0"/>
      <w:divBdr>
        <w:top w:val="none" w:sz="0" w:space="0" w:color="auto"/>
        <w:left w:val="none" w:sz="0" w:space="0" w:color="auto"/>
        <w:bottom w:val="none" w:sz="0" w:space="0" w:color="auto"/>
        <w:right w:val="none" w:sz="0" w:space="0" w:color="auto"/>
      </w:divBdr>
    </w:div>
    <w:div w:id="211840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rizvi</dc:creator>
  <cp:keywords/>
  <dc:description/>
  <cp:lastModifiedBy>User</cp:lastModifiedBy>
  <cp:revision>8</cp:revision>
  <dcterms:created xsi:type="dcterms:W3CDTF">2022-07-20T14:52:00Z</dcterms:created>
  <dcterms:modified xsi:type="dcterms:W3CDTF">2022-07-21T03:51:00Z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2016</vt:lpwstr>
  </property>
  <property fmtid="{D5CDD505-2E9C-101B-9397-08002B2CF9AE}" pid="4" name="LastSaved">
    <vt:filetime>2022-07-19T00:00:00Z</vt:filetime>
  </property>
</Properties>
</file>