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416" w:rsidRPr="008C6B39" w:rsidRDefault="00460416" w:rsidP="002D5CF3">
      <w:pPr>
        <w:jc w:val="center"/>
        <w:rPr>
          <w:szCs w:val="24"/>
        </w:rPr>
      </w:pPr>
      <w:r w:rsidRPr="008C6B39">
        <w:rPr>
          <w:b/>
          <w:bCs/>
          <w:szCs w:val="24"/>
        </w:rPr>
        <w:t>Treasury Management in Banks</w:t>
      </w:r>
    </w:p>
    <w:p w:rsidR="008C6B39" w:rsidRDefault="002D5CF3" w:rsidP="002D5CF3">
      <w:pPr>
        <w:pStyle w:val="Heading1"/>
        <w:jc w:val="center"/>
        <w:rPr>
          <w:color w:val="000000"/>
          <w:sz w:val="24"/>
          <w:szCs w:val="24"/>
        </w:rPr>
      </w:pPr>
      <w:bookmarkStart w:id="0" w:name="_Toc99535986"/>
      <w:r w:rsidRPr="002D5CF3">
        <w:rPr>
          <w:color w:val="000000"/>
          <w:sz w:val="24"/>
          <w:szCs w:val="24"/>
        </w:rPr>
        <w:t>June 2022 Examination</w:t>
      </w:r>
    </w:p>
    <w:p w:rsidR="008C6B39" w:rsidRDefault="008C6B39" w:rsidP="008C6B39">
      <w:pPr>
        <w:pStyle w:val="Heading1"/>
        <w:rPr>
          <w:color w:val="000000"/>
          <w:sz w:val="24"/>
          <w:szCs w:val="24"/>
        </w:rPr>
      </w:pPr>
    </w:p>
    <w:p w:rsidR="002D5CF3" w:rsidRPr="002D5CF3" w:rsidRDefault="002D5CF3" w:rsidP="008C6B39">
      <w:pPr>
        <w:pStyle w:val="Heading1"/>
        <w:rPr>
          <w:color w:val="000000"/>
          <w:sz w:val="24"/>
          <w:szCs w:val="24"/>
        </w:rPr>
      </w:pPr>
    </w:p>
    <w:p w:rsidR="002D5CF3" w:rsidRDefault="002D5CF3" w:rsidP="002D5CF3">
      <w:pPr>
        <w:rPr>
          <w:b/>
        </w:rPr>
      </w:pPr>
      <w:r>
        <w:rPr>
          <w:b/>
        </w:rPr>
        <w:t>Q</w:t>
      </w:r>
      <w:r w:rsidRPr="002D5CF3">
        <w:rPr>
          <w:b/>
        </w:rPr>
        <w:t xml:space="preserve">1. Calculate the duration Gap of the following excerpts from the balance sheet of a bank. </w:t>
      </w:r>
      <w:proofErr w:type="gramStart"/>
      <w:r w:rsidRPr="002D5CF3">
        <w:rPr>
          <w:b/>
        </w:rPr>
        <w:t>Also calculate the impact on the equity of the bank in the different interest rates scenarios.</w:t>
      </w:r>
      <w:proofErr w:type="gramEnd"/>
    </w:p>
    <w:p w:rsidR="002D5CF3" w:rsidRDefault="002D5CF3" w:rsidP="002D5CF3">
      <w:pPr>
        <w:rPr>
          <w:b/>
        </w:rPr>
      </w:pPr>
      <w:r w:rsidRPr="002D5CF3">
        <w:rPr>
          <w:b/>
        </w:rPr>
        <w:t>KINDLY CHECK BELOW</w:t>
      </w:r>
    </w:p>
    <w:tbl>
      <w:tblPr>
        <w:tblW w:w="0" w:type="auto"/>
        <w:tblInd w:w="94" w:type="dxa"/>
        <w:tblLayout w:type="fixed"/>
        <w:tblCellMar>
          <w:left w:w="0" w:type="dxa"/>
          <w:right w:w="0" w:type="dxa"/>
        </w:tblCellMar>
        <w:tblLook w:val="01E0"/>
      </w:tblPr>
      <w:tblGrid>
        <w:gridCol w:w="3416"/>
        <w:gridCol w:w="1560"/>
        <w:gridCol w:w="5344"/>
      </w:tblGrid>
      <w:tr w:rsidR="002D5CF3" w:rsidTr="00E4062C">
        <w:trPr>
          <w:trHeight w:hRule="exact" w:val="574"/>
        </w:trPr>
        <w:tc>
          <w:tcPr>
            <w:tcW w:w="3416" w:type="dxa"/>
            <w:tcBorders>
              <w:top w:val="nil"/>
              <w:left w:val="nil"/>
              <w:bottom w:val="single" w:sz="8" w:space="0" w:color="000000"/>
              <w:right w:val="nil"/>
            </w:tcBorders>
            <w:shd w:val="clear" w:color="auto" w:fill="D7D7D7"/>
          </w:tcPr>
          <w:p w:rsidR="002D5CF3" w:rsidRDefault="002D5CF3" w:rsidP="00E4062C">
            <w:pPr>
              <w:spacing w:line="260" w:lineRule="exact"/>
              <w:ind w:left="105"/>
              <w:rPr>
                <w:szCs w:val="24"/>
              </w:rPr>
            </w:pPr>
            <w:r>
              <w:rPr>
                <w:b/>
                <w:color w:val="244060"/>
                <w:szCs w:val="24"/>
              </w:rPr>
              <w:t>Bala</w:t>
            </w:r>
            <w:r>
              <w:rPr>
                <w:b/>
                <w:color w:val="244060"/>
                <w:spacing w:val="1"/>
                <w:szCs w:val="24"/>
              </w:rPr>
              <w:t>n</w:t>
            </w:r>
            <w:r>
              <w:rPr>
                <w:b/>
                <w:color w:val="244060"/>
                <w:spacing w:val="-1"/>
                <w:szCs w:val="24"/>
              </w:rPr>
              <w:t>c</w:t>
            </w:r>
            <w:r>
              <w:rPr>
                <w:b/>
                <w:color w:val="244060"/>
                <w:szCs w:val="24"/>
              </w:rPr>
              <w:t>e</w:t>
            </w:r>
            <w:r>
              <w:rPr>
                <w:b/>
                <w:color w:val="244060"/>
                <w:spacing w:val="-1"/>
                <w:szCs w:val="24"/>
              </w:rPr>
              <w:t xml:space="preserve"> </w:t>
            </w:r>
            <w:r>
              <w:rPr>
                <w:b/>
                <w:color w:val="244060"/>
                <w:spacing w:val="1"/>
                <w:szCs w:val="24"/>
              </w:rPr>
              <w:t>Sh</w:t>
            </w:r>
            <w:r>
              <w:rPr>
                <w:b/>
                <w:color w:val="244060"/>
                <w:spacing w:val="-1"/>
                <w:szCs w:val="24"/>
              </w:rPr>
              <w:t>ee</w:t>
            </w:r>
            <w:r>
              <w:rPr>
                <w:b/>
                <w:color w:val="244060"/>
                <w:szCs w:val="24"/>
              </w:rPr>
              <w:t>t</w:t>
            </w:r>
            <w:r>
              <w:rPr>
                <w:b/>
                <w:color w:val="244060"/>
                <w:spacing w:val="1"/>
                <w:szCs w:val="24"/>
              </w:rPr>
              <w:t xml:space="preserve"> f</w:t>
            </w:r>
            <w:r>
              <w:rPr>
                <w:b/>
                <w:color w:val="244060"/>
                <w:szCs w:val="24"/>
              </w:rPr>
              <w:t>or</w:t>
            </w:r>
            <w:r>
              <w:rPr>
                <w:b/>
                <w:color w:val="244060"/>
                <w:spacing w:val="-1"/>
                <w:szCs w:val="24"/>
              </w:rPr>
              <w:t xml:space="preserve"> </w:t>
            </w:r>
            <w:r>
              <w:rPr>
                <w:b/>
                <w:color w:val="244060"/>
                <w:szCs w:val="24"/>
              </w:rPr>
              <w:t>Hy</w:t>
            </w:r>
            <w:r>
              <w:rPr>
                <w:b/>
                <w:color w:val="244060"/>
                <w:spacing w:val="1"/>
                <w:szCs w:val="24"/>
              </w:rPr>
              <w:t>p</w:t>
            </w:r>
            <w:r>
              <w:rPr>
                <w:b/>
                <w:color w:val="244060"/>
                <w:spacing w:val="-2"/>
                <w:szCs w:val="24"/>
              </w:rPr>
              <w:t>o</w:t>
            </w:r>
            <w:r>
              <w:rPr>
                <w:b/>
                <w:color w:val="244060"/>
                <w:szCs w:val="24"/>
              </w:rPr>
              <w:t>th</w:t>
            </w:r>
            <w:r>
              <w:rPr>
                <w:b/>
                <w:color w:val="244060"/>
                <w:spacing w:val="-1"/>
                <w:szCs w:val="24"/>
              </w:rPr>
              <w:t>e</w:t>
            </w:r>
            <w:r>
              <w:rPr>
                <w:b/>
                <w:color w:val="244060"/>
                <w:szCs w:val="24"/>
              </w:rPr>
              <w:t>ti</w:t>
            </w:r>
            <w:r>
              <w:rPr>
                <w:b/>
                <w:color w:val="244060"/>
                <w:spacing w:val="-1"/>
                <w:szCs w:val="24"/>
              </w:rPr>
              <w:t>c</w:t>
            </w:r>
            <w:r>
              <w:rPr>
                <w:b/>
                <w:color w:val="244060"/>
                <w:szCs w:val="24"/>
              </w:rPr>
              <w:t>al</w:t>
            </w:r>
          </w:p>
          <w:p w:rsidR="002D5CF3" w:rsidRDefault="002D5CF3" w:rsidP="00E4062C">
            <w:pPr>
              <w:ind w:left="105"/>
              <w:rPr>
                <w:szCs w:val="24"/>
              </w:rPr>
            </w:pPr>
            <w:r>
              <w:rPr>
                <w:b/>
                <w:color w:val="244060"/>
                <w:szCs w:val="24"/>
              </w:rPr>
              <w:t>Ba</w:t>
            </w:r>
            <w:r>
              <w:rPr>
                <w:b/>
                <w:color w:val="244060"/>
                <w:spacing w:val="1"/>
                <w:szCs w:val="24"/>
              </w:rPr>
              <w:t>n</w:t>
            </w:r>
            <w:r>
              <w:rPr>
                <w:b/>
                <w:color w:val="244060"/>
                <w:szCs w:val="24"/>
              </w:rPr>
              <w:t>k</w:t>
            </w:r>
          </w:p>
        </w:tc>
        <w:tc>
          <w:tcPr>
            <w:tcW w:w="1560" w:type="dxa"/>
            <w:tcBorders>
              <w:top w:val="nil"/>
              <w:left w:val="nil"/>
              <w:bottom w:val="single" w:sz="8" w:space="0" w:color="000000"/>
              <w:right w:val="nil"/>
            </w:tcBorders>
          </w:tcPr>
          <w:p w:rsidR="002D5CF3" w:rsidRDefault="002D5CF3" w:rsidP="00E4062C"/>
        </w:tc>
        <w:tc>
          <w:tcPr>
            <w:tcW w:w="5344" w:type="dxa"/>
            <w:tcBorders>
              <w:top w:val="nil"/>
              <w:left w:val="nil"/>
              <w:bottom w:val="single" w:sz="8" w:space="0" w:color="000000"/>
              <w:right w:val="nil"/>
            </w:tcBorders>
          </w:tcPr>
          <w:p w:rsidR="002D5CF3" w:rsidRDefault="002D5CF3" w:rsidP="00E4062C"/>
        </w:tc>
      </w:tr>
      <w:tr w:rsidR="002D5CF3" w:rsidTr="00E4062C">
        <w:trPr>
          <w:trHeight w:hRule="exact" w:val="286"/>
        </w:trPr>
        <w:tc>
          <w:tcPr>
            <w:tcW w:w="3416" w:type="dxa"/>
            <w:tcBorders>
              <w:top w:val="single" w:sz="8" w:space="0" w:color="000000"/>
              <w:left w:val="single" w:sz="8" w:space="0" w:color="000000"/>
              <w:bottom w:val="nil"/>
              <w:right w:val="nil"/>
            </w:tcBorders>
            <w:shd w:val="clear" w:color="auto" w:fill="8DB4E2"/>
          </w:tcPr>
          <w:p w:rsidR="002D5CF3" w:rsidRDefault="002D5CF3" w:rsidP="00E4062C"/>
        </w:tc>
        <w:tc>
          <w:tcPr>
            <w:tcW w:w="1560" w:type="dxa"/>
            <w:tcBorders>
              <w:top w:val="single" w:sz="8" w:space="0" w:color="000000"/>
              <w:left w:val="nil"/>
              <w:bottom w:val="nil"/>
              <w:right w:val="nil"/>
            </w:tcBorders>
            <w:shd w:val="clear" w:color="auto" w:fill="8DB4E2"/>
          </w:tcPr>
          <w:p w:rsidR="002D5CF3" w:rsidRDefault="002D5CF3" w:rsidP="00E4062C"/>
        </w:tc>
        <w:tc>
          <w:tcPr>
            <w:tcW w:w="5344" w:type="dxa"/>
            <w:tcBorders>
              <w:top w:val="single" w:sz="8" w:space="0" w:color="000000"/>
              <w:left w:val="nil"/>
              <w:bottom w:val="nil"/>
              <w:right w:val="single" w:sz="8" w:space="0" w:color="000000"/>
            </w:tcBorders>
            <w:shd w:val="clear" w:color="auto" w:fill="8DB4E2"/>
          </w:tcPr>
          <w:p w:rsidR="002D5CF3" w:rsidRDefault="002D5CF3" w:rsidP="00E4062C">
            <w:pPr>
              <w:spacing w:line="260" w:lineRule="exact"/>
              <w:ind w:left="130"/>
              <w:rPr>
                <w:szCs w:val="24"/>
              </w:rPr>
            </w:pPr>
            <w:r>
              <w:rPr>
                <w:b/>
                <w:spacing w:val="-1"/>
                <w:szCs w:val="24"/>
              </w:rPr>
              <w:t>M</w:t>
            </w:r>
            <w:r>
              <w:rPr>
                <w:b/>
                <w:szCs w:val="24"/>
              </w:rPr>
              <w:t>a</w:t>
            </w:r>
            <w:r>
              <w:rPr>
                <w:b/>
                <w:spacing w:val="-1"/>
                <w:szCs w:val="24"/>
              </w:rPr>
              <w:t>c</w:t>
            </w:r>
            <w:r>
              <w:rPr>
                <w:b/>
                <w:szCs w:val="24"/>
              </w:rPr>
              <w:t>a</w:t>
            </w:r>
            <w:r>
              <w:rPr>
                <w:b/>
                <w:spacing w:val="1"/>
                <w:szCs w:val="24"/>
              </w:rPr>
              <w:t>u</w:t>
            </w:r>
            <w:r>
              <w:rPr>
                <w:b/>
                <w:szCs w:val="24"/>
              </w:rPr>
              <w:t xml:space="preserve">lay                                                  </w:t>
            </w:r>
            <w:r>
              <w:rPr>
                <w:b/>
                <w:spacing w:val="21"/>
                <w:szCs w:val="24"/>
              </w:rPr>
              <w:t xml:space="preserve"> </w:t>
            </w:r>
            <w:proofErr w:type="spellStart"/>
            <w:r>
              <w:rPr>
                <w:b/>
                <w:spacing w:val="-1"/>
                <w:szCs w:val="24"/>
              </w:rPr>
              <w:t>M</w:t>
            </w:r>
            <w:r>
              <w:rPr>
                <w:b/>
                <w:szCs w:val="24"/>
              </w:rPr>
              <w:t>a</w:t>
            </w:r>
            <w:r>
              <w:rPr>
                <w:b/>
                <w:spacing w:val="-1"/>
                <w:szCs w:val="24"/>
              </w:rPr>
              <w:t>c</w:t>
            </w:r>
            <w:r>
              <w:rPr>
                <w:b/>
                <w:szCs w:val="24"/>
              </w:rPr>
              <w:t>a</w:t>
            </w:r>
            <w:r>
              <w:rPr>
                <w:b/>
                <w:spacing w:val="1"/>
                <w:szCs w:val="24"/>
              </w:rPr>
              <w:t>u</w:t>
            </w:r>
            <w:r>
              <w:rPr>
                <w:b/>
                <w:szCs w:val="24"/>
              </w:rPr>
              <w:t>lay</w:t>
            </w:r>
            <w:proofErr w:type="spellEnd"/>
          </w:p>
        </w:tc>
      </w:tr>
      <w:tr w:rsidR="002D5CF3" w:rsidTr="00E4062C">
        <w:trPr>
          <w:trHeight w:hRule="exact" w:val="267"/>
        </w:trPr>
        <w:tc>
          <w:tcPr>
            <w:tcW w:w="3416" w:type="dxa"/>
            <w:tcBorders>
              <w:top w:val="nil"/>
              <w:left w:val="single" w:sz="8" w:space="0" w:color="000000"/>
              <w:bottom w:val="nil"/>
              <w:right w:val="nil"/>
            </w:tcBorders>
            <w:shd w:val="clear" w:color="auto" w:fill="8DB4E2"/>
          </w:tcPr>
          <w:p w:rsidR="002D5CF3" w:rsidRDefault="002D5CF3" w:rsidP="00E4062C">
            <w:pPr>
              <w:spacing w:line="260" w:lineRule="exact"/>
              <w:ind w:left="94"/>
              <w:rPr>
                <w:szCs w:val="24"/>
              </w:rPr>
            </w:pPr>
            <w:r>
              <w:rPr>
                <w:b/>
                <w:spacing w:val="-3"/>
                <w:szCs w:val="24"/>
              </w:rPr>
              <w:t>P</w:t>
            </w:r>
            <w:r>
              <w:rPr>
                <w:b/>
                <w:szCs w:val="24"/>
              </w:rPr>
              <w:t>a</w:t>
            </w:r>
            <w:r>
              <w:rPr>
                <w:b/>
                <w:spacing w:val="1"/>
                <w:szCs w:val="24"/>
              </w:rPr>
              <w:t>r</w:t>
            </w:r>
            <w:r>
              <w:rPr>
                <w:b/>
                <w:szCs w:val="24"/>
              </w:rPr>
              <w:t>ti</w:t>
            </w:r>
            <w:r>
              <w:rPr>
                <w:b/>
                <w:spacing w:val="-1"/>
                <w:szCs w:val="24"/>
              </w:rPr>
              <w:t>c</w:t>
            </w:r>
            <w:r>
              <w:rPr>
                <w:b/>
                <w:spacing w:val="1"/>
                <w:szCs w:val="24"/>
              </w:rPr>
              <w:t>u</w:t>
            </w:r>
            <w:r>
              <w:rPr>
                <w:b/>
                <w:szCs w:val="24"/>
              </w:rPr>
              <w:t>lars</w:t>
            </w:r>
          </w:p>
        </w:tc>
        <w:tc>
          <w:tcPr>
            <w:tcW w:w="1560" w:type="dxa"/>
            <w:tcBorders>
              <w:top w:val="nil"/>
              <w:left w:val="nil"/>
              <w:bottom w:val="nil"/>
              <w:right w:val="nil"/>
            </w:tcBorders>
            <w:shd w:val="clear" w:color="auto" w:fill="8DB4E2"/>
          </w:tcPr>
          <w:p w:rsidR="002D5CF3" w:rsidRDefault="002D5CF3" w:rsidP="00E4062C">
            <w:pPr>
              <w:spacing w:line="260" w:lineRule="exact"/>
              <w:ind w:left="461"/>
              <w:rPr>
                <w:szCs w:val="24"/>
              </w:rPr>
            </w:pPr>
            <w:r>
              <w:rPr>
                <w:b/>
                <w:szCs w:val="24"/>
              </w:rPr>
              <w:t>Ass</w:t>
            </w:r>
            <w:r>
              <w:rPr>
                <w:b/>
                <w:spacing w:val="-1"/>
                <w:szCs w:val="24"/>
              </w:rPr>
              <w:t>e</w:t>
            </w:r>
            <w:r>
              <w:rPr>
                <w:b/>
                <w:szCs w:val="24"/>
              </w:rPr>
              <w:t>ts</w:t>
            </w:r>
          </w:p>
        </w:tc>
        <w:tc>
          <w:tcPr>
            <w:tcW w:w="5344" w:type="dxa"/>
            <w:tcBorders>
              <w:top w:val="nil"/>
              <w:left w:val="nil"/>
              <w:bottom w:val="nil"/>
              <w:right w:val="single" w:sz="8" w:space="0" w:color="000000"/>
            </w:tcBorders>
            <w:shd w:val="clear" w:color="auto" w:fill="8DB4E2"/>
          </w:tcPr>
          <w:p w:rsidR="002D5CF3" w:rsidRDefault="002D5CF3" w:rsidP="00E4062C">
            <w:pPr>
              <w:spacing w:line="260" w:lineRule="exact"/>
              <w:ind w:left="170"/>
              <w:rPr>
                <w:szCs w:val="24"/>
              </w:rPr>
            </w:pPr>
            <w:r>
              <w:rPr>
                <w:b/>
                <w:szCs w:val="24"/>
              </w:rPr>
              <w:t>Dura</w:t>
            </w:r>
            <w:r>
              <w:rPr>
                <w:b/>
                <w:spacing w:val="-1"/>
                <w:szCs w:val="24"/>
              </w:rPr>
              <w:t>t</w:t>
            </w:r>
            <w:r>
              <w:rPr>
                <w:b/>
                <w:szCs w:val="24"/>
              </w:rPr>
              <w:t xml:space="preserve">ion                              </w:t>
            </w:r>
            <w:r>
              <w:rPr>
                <w:b/>
                <w:spacing w:val="17"/>
                <w:szCs w:val="24"/>
              </w:rPr>
              <w:t xml:space="preserve"> </w:t>
            </w:r>
            <w:r>
              <w:rPr>
                <w:b/>
                <w:szCs w:val="24"/>
              </w:rPr>
              <w:t>Lia</w:t>
            </w:r>
            <w:r>
              <w:rPr>
                <w:b/>
                <w:spacing w:val="1"/>
                <w:szCs w:val="24"/>
              </w:rPr>
              <w:t>b</w:t>
            </w:r>
            <w:r>
              <w:rPr>
                <w:b/>
                <w:szCs w:val="24"/>
              </w:rPr>
              <w:t>i</w:t>
            </w:r>
            <w:r>
              <w:rPr>
                <w:b/>
                <w:spacing w:val="-1"/>
                <w:szCs w:val="24"/>
              </w:rPr>
              <w:t>l</w:t>
            </w:r>
            <w:r>
              <w:rPr>
                <w:b/>
                <w:szCs w:val="24"/>
              </w:rPr>
              <w:t>iti</w:t>
            </w:r>
            <w:r>
              <w:rPr>
                <w:b/>
                <w:spacing w:val="-1"/>
                <w:szCs w:val="24"/>
              </w:rPr>
              <w:t>e</w:t>
            </w:r>
            <w:r>
              <w:rPr>
                <w:b/>
                <w:szCs w:val="24"/>
              </w:rPr>
              <w:t xml:space="preserve">s   </w:t>
            </w:r>
            <w:r>
              <w:rPr>
                <w:b/>
                <w:spacing w:val="15"/>
                <w:szCs w:val="24"/>
              </w:rPr>
              <w:t xml:space="preserve"> </w:t>
            </w:r>
            <w:r>
              <w:rPr>
                <w:b/>
                <w:szCs w:val="24"/>
              </w:rPr>
              <w:t>Dura</w:t>
            </w:r>
            <w:r>
              <w:rPr>
                <w:b/>
                <w:spacing w:val="-1"/>
                <w:szCs w:val="24"/>
              </w:rPr>
              <w:t>t</w:t>
            </w:r>
            <w:r>
              <w:rPr>
                <w:b/>
                <w:szCs w:val="24"/>
              </w:rPr>
              <w:t>ion</w:t>
            </w:r>
          </w:p>
        </w:tc>
      </w:tr>
      <w:tr w:rsidR="002D5CF3" w:rsidTr="00E4062C">
        <w:trPr>
          <w:trHeight w:hRule="exact" w:val="281"/>
        </w:trPr>
        <w:tc>
          <w:tcPr>
            <w:tcW w:w="3416" w:type="dxa"/>
            <w:tcBorders>
              <w:top w:val="nil"/>
              <w:left w:val="single" w:sz="8" w:space="0" w:color="000000"/>
              <w:bottom w:val="nil"/>
              <w:right w:val="nil"/>
            </w:tcBorders>
          </w:tcPr>
          <w:p w:rsidR="002D5CF3" w:rsidRDefault="002D5CF3" w:rsidP="00E4062C"/>
        </w:tc>
        <w:tc>
          <w:tcPr>
            <w:tcW w:w="1560" w:type="dxa"/>
            <w:tcBorders>
              <w:top w:val="nil"/>
              <w:left w:val="nil"/>
              <w:bottom w:val="nil"/>
              <w:right w:val="nil"/>
            </w:tcBorders>
          </w:tcPr>
          <w:p w:rsidR="002D5CF3" w:rsidRDefault="002D5CF3" w:rsidP="00E4062C"/>
        </w:tc>
        <w:tc>
          <w:tcPr>
            <w:tcW w:w="5344" w:type="dxa"/>
            <w:tcBorders>
              <w:top w:val="nil"/>
              <w:left w:val="nil"/>
              <w:bottom w:val="nil"/>
              <w:right w:val="single" w:sz="8" w:space="0" w:color="000000"/>
            </w:tcBorders>
          </w:tcPr>
          <w:p w:rsidR="002D5CF3" w:rsidRDefault="002D5CF3" w:rsidP="00E4062C">
            <w:pPr>
              <w:spacing w:line="260" w:lineRule="exact"/>
              <w:ind w:left="1383"/>
              <w:rPr>
                <w:szCs w:val="24"/>
              </w:rPr>
            </w:pPr>
            <w:r>
              <w:rPr>
                <w:szCs w:val="24"/>
              </w:rPr>
              <w:t>Cur</w:t>
            </w:r>
            <w:r>
              <w:rPr>
                <w:spacing w:val="-1"/>
                <w:szCs w:val="24"/>
              </w:rPr>
              <w:t>re</w:t>
            </w:r>
            <w:r>
              <w:rPr>
                <w:szCs w:val="24"/>
              </w:rPr>
              <w:t>nt</w:t>
            </w:r>
          </w:p>
        </w:tc>
      </w:tr>
      <w:tr w:rsidR="002D5CF3" w:rsidTr="00E4062C">
        <w:trPr>
          <w:trHeight w:hRule="exact" w:val="288"/>
        </w:trPr>
        <w:tc>
          <w:tcPr>
            <w:tcW w:w="3416" w:type="dxa"/>
            <w:tcBorders>
              <w:top w:val="nil"/>
              <w:left w:val="single" w:sz="8" w:space="0" w:color="000000"/>
              <w:bottom w:val="nil"/>
              <w:right w:val="nil"/>
            </w:tcBorders>
          </w:tcPr>
          <w:p w:rsidR="002D5CF3" w:rsidRDefault="002D5CF3" w:rsidP="00E4062C">
            <w:pPr>
              <w:spacing w:line="260" w:lineRule="exact"/>
              <w:ind w:left="94"/>
              <w:rPr>
                <w:szCs w:val="24"/>
              </w:rPr>
            </w:pPr>
            <w:r>
              <w:rPr>
                <w:szCs w:val="24"/>
              </w:rPr>
              <w:t>Cur</w:t>
            </w:r>
            <w:r>
              <w:rPr>
                <w:spacing w:val="-1"/>
                <w:szCs w:val="24"/>
              </w:rPr>
              <w:t>re</w:t>
            </w:r>
            <w:r>
              <w:rPr>
                <w:szCs w:val="24"/>
              </w:rPr>
              <w:t>nt Assets</w:t>
            </w:r>
          </w:p>
        </w:tc>
        <w:tc>
          <w:tcPr>
            <w:tcW w:w="1560" w:type="dxa"/>
            <w:tcBorders>
              <w:top w:val="nil"/>
              <w:left w:val="nil"/>
              <w:bottom w:val="nil"/>
              <w:right w:val="nil"/>
            </w:tcBorders>
          </w:tcPr>
          <w:p w:rsidR="002D5CF3" w:rsidRDefault="002D5CF3" w:rsidP="00E4062C">
            <w:pPr>
              <w:spacing w:line="260" w:lineRule="exact"/>
              <w:ind w:left="972"/>
              <w:rPr>
                <w:szCs w:val="24"/>
              </w:rPr>
            </w:pPr>
            <w:r>
              <w:rPr>
                <w:szCs w:val="24"/>
              </w:rPr>
              <w:t>1500</w:t>
            </w:r>
          </w:p>
        </w:tc>
        <w:tc>
          <w:tcPr>
            <w:tcW w:w="5344" w:type="dxa"/>
            <w:tcBorders>
              <w:top w:val="nil"/>
              <w:left w:val="nil"/>
              <w:bottom w:val="nil"/>
              <w:right w:val="single" w:sz="8" w:space="0" w:color="000000"/>
            </w:tcBorders>
          </w:tcPr>
          <w:p w:rsidR="002D5CF3" w:rsidRDefault="002D5CF3" w:rsidP="00E4062C">
            <w:pPr>
              <w:spacing w:line="260" w:lineRule="exact"/>
              <w:ind w:left="480"/>
              <w:rPr>
                <w:szCs w:val="24"/>
              </w:rPr>
            </w:pPr>
            <w:r>
              <w:rPr>
                <w:szCs w:val="24"/>
              </w:rPr>
              <w:t>7</w:t>
            </w:r>
            <w:r>
              <w:rPr>
                <w:spacing w:val="2"/>
                <w:szCs w:val="24"/>
              </w:rPr>
              <w:t xml:space="preserve"> </w:t>
            </w:r>
            <w:r>
              <w:rPr>
                <w:spacing w:val="-5"/>
                <w:szCs w:val="24"/>
              </w:rPr>
              <w:t>y</w:t>
            </w:r>
            <w:r>
              <w:rPr>
                <w:spacing w:val="1"/>
                <w:szCs w:val="24"/>
              </w:rPr>
              <w:t>e</w:t>
            </w:r>
            <w:r>
              <w:rPr>
                <w:spacing w:val="-1"/>
                <w:szCs w:val="24"/>
              </w:rPr>
              <w:t>a</w:t>
            </w:r>
            <w:r>
              <w:rPr>
                <w:szCs w:val="24"/>
              </w:rPr>
              <w:t xml:space="preserve">rs  </w:t>
            </w:r>
            <w:r>
              <w:rPr>
                <w:spacing w:val="38"/>
                <w:szCs w:val="24"/>
              </w:rPr>
              <w:t xml:space="preserve"> </w:t>
            </w:r>
            <w:r>
              <w:rPr>
                <w:spacing w:val="-3"/>
                <w:szCs w:val="24"/>
              </w:rPr>
              <w:t>L</w:t>
            </w:r>
            <w:r>
              <w:rPr>
                <w:szCs w:val="24"/>
              </w:rPr>
              <w:t>iabil</w:t>
            </w:r>
            <w:r>
              <w:rPr>
                <w:spacing w:val="1"/>
                <w:szCs w:val="24"/>
              </w:rPr>
              <w:t>i</w:t>
            </w:r>
            <w:r>
              <w:rPr>
                <w:szCs w:val="24"/>
              </w:rPr>
              <w:t>t</w:t>
            </w:r>
            <w:r>
              <w:rPr>
                <w:spacing w:val="1"/>
                <w:szCs w:val="24"/>
              </w:rPr>
              <w:t>i</w:t>
            </w:r>
            <w:r>
              <w:rPr>
                <w:spacing w:val="-1"/>
                <w:szCs w:val="24"/>
              </w:rPr>
              <w:t>e</w:t>
            </w:r>
            <w:r>
              <w:rPr>
                <w:szCs w:val="24"/>
              </w:rPr>
              <w:t xml:space="preserve">s                  </w:t>
            </w:r>
            <w:r>
              <w:rPr>
                <w:spacing w:val="33"/>
                <w:szCs w:val="24"/>
              </w:rPr>
              <w:t xml:space="preserve"> </w:t>
            </w:r>
            <w:r>
              <w:rPr>
                <w:szCs w:val="24"/>
              </w:rPr>
              <w:t xml:space="preserve">1400       </w:t>
            </w:r>
            <w:r>
              <w:rPr>
                <w:spacing w:val="10"/>
                <w:szCs w:val="24"/>
              </w:rPr>
              <w:t xml:space="preserve"> </w:t>
            </w:r>
            <w:r>
              <w:rPr>
                <w:szCs w:val="24"/>
              </w:rPr>
              <w:t>5 Y</w:t>
            </w:r>
            <w:r>
              <w:rPr>
                <w:spacing w:val="-1"/>
                <w:szCs w:val="24"/>
              </w:rPr>
              <w:t>ea</w:t>
            </w:r>
            <w:r>
              <w:rPr>
                <w:szCs w:val="24"/>
              </w:rPr>
              <w:t>rs</w:t>
            </w:r>
          </w:p>
        </w:tc>
      </w:tr>
      <w:tr w:rsidR="002D5CF3" w:rsidTr="00E4062C">
        <w:trPr>
          <w:trHeight w:hRule="exact" w:val="300"/>
        </w:trPr>
        <w:tc>
          <w:tcPr>
            <w:tcW w:w="3416" w:type="dxa"/>
            <w:tcBorders>
              <w:top w:val="nil"/>
              <w:left w:val="single" w:sz="8" w:space="0" w:color="000000"/>
              <w:bottom w:val="nil"/>
              <w:right w:val="nil"/>
            </w:tcBorders>
          </w:tcPr>
          <w:p w:rsidR="002D5CF3" w:rsidRDefault="002D5CF3" w:rsidP="00E4062C">
            <w:pPr>
              <w:spacing w:line="260" w:lineRule="exact"/>
              <w:ind w:left="94"/>
              <w:rPr>
                <w:szCs w:val="24"/>
              </w:rPr>
            </w:pPr>
            <w:r>
              <w:rPr>
                <w:spacing w:val="-1"/>
                <w:szCs w:val="24"/>
              </w:rPr>
              <w:t>F</w:t>
            </w:r>
            <w:r>
              <w:rPr>
                <w:szCs w:val="24"/>
              </w:rPr>
              <w:t>i</w:t>
            </w:r>
            <w:r>
              <w:rPr>
                <w:spacing w:val="3"/>
                <w:szCs w:val="24"/>
              </w:rPr>
              <w:t>x</w:t>
            </w:r>
            <w:r>
              <w:rPr>
                <w:spacing w:val="-1"/>
                <w:szCs w:val="24"/>
              </w:rPr>
              <w:t>e</w:t>
            </w:r>
            <w:r>
              <w:rPr>
                <w:szCs w:val="24"/>
              </w:rPr>
              <w:t>d Ass</w:t>
            </w:r>
            <w:r>
              <w:rPr>
                <w:spacing w:val="-1"/>
                <w:szCs w:val="24"/>
              </w:rPr>
              <w:t>e</w:t>
            </w:r>
            <w:r>
              <w:rPr>
                <w:szCs w:val="24"/>
              </w:rPr>
              <w:t>ts</w:t>
            </w:r>
          </w:p>
        </w:tc>
        <w:tc>
          <w:tcPr>
            <w:tcW w:w="1560" w:type="dxa"/>
            <w:tcBorders>
              <w:top w:val="nil"/>
              <w:left w:val="nil"/>
              <w:bottom w:val="nil"/>
              <w:right w:val="nil"/>
            </w:tcBorders>
          </w:tcPr>
          <w:p w:rsidR="002D5CF3" w:rsidRDefault="002D5CF3" w:rsidP="00E4062C">
            <w:pPr>
              <w:spacing w:line="260" w:lineRule="exact"/>
              <w:ind w:left="972"/>
              <w:rPr>
                <w:szCs w:val="24"/>
              </w:rPr>
            </w:pPr>
            <w:r>
              <w:rPr>
                <w:szCs w:val="24"/>
              </w:rPr>
              <w:t>1400</w:t>
            </w:r>
          </w:p>
        </w:tc>
        <w:tc>
          <w:tcPr>
            <w:tcW w:w="5344" w:type="dxa"/>
            <w:tcBorders>
              <w:top w:val="nil"/>
              <w:left w:val="nil"/>
              <w:bottom w:val="nil"/>
              <w:right w:val="single" w:sz="8" w:space="0" w:color="000000"/>
            </w:tcBorders>
          </w:tcPr>
          <w:p w:rsidR="002D5CF3" w:rsidRDefault="002D5CF3" w:rsidP="00E4062C"/>
        </w:tc>
      </w:tr>
      <w:tr w:rsidR="002D5CF3" w:rsidTr="00E4062C">
        <w:trPr>
          <w:trHeight w:hRule="exact" w:val="294"/>
        </w:trPr>
        <w:tc>
          <w:tcPr>
            <w:tcW w:w="3416" w:type="dxa"/>
            <w:tcBorders>
              <w:top w:val="nil"/>
              <w:left w:val="single" w:sz="8" w:space="0" w:color="000000"/>
              <w:bottom w:val="nil"/>
              <w:right w:val="nil"/>
            </w:tcBorders>
          </w:tcPr>
          <w:p w:rsidR="002D5CF3" w:rsidRDefault="002D5CF3" w:rsidP="00E4062C"/>
        </w:tc>
        <w:tc>
          <w:tcPr>
            <w:tcW w:w="1560" w:type="dxa"/>
            <w:tcBorders>
              <w:top w:val="nil"/>
              <w:left w:val="nil"/>
              <w:bottom w:val="single" w:sz="5" w:space="0" w:color="000000"/>
              <w:right w:val="nil"/>
            </w:tcBorders>
          </w:tcPr>
          <w:p w:rsidR="002D5CF3" w:rsidRDefault="002D5CF3" w:rsidP="00E4062C"/>
        </w:tc>
        <w:tc>
          <w:tcPr>
            <w:tcW w:w="5344" w:type="dxa"/>
            <w:tcBorders>
              <w:top w:val="nil"/>
              <w:left w:val="nil"/>
              <w:bottom w:val="nil"/>
              <w:right w:val="single" w:sz="8" w:space="0" w:color="000000"/>
            </w:tcBorders>
          </w:tcPr>
          <w:p w:rsidR="002D5CF3" w:rsidRDefault="002D5CF3" w:rsidP="00E4062C">
            <w:pPr>
              <w:spacing w:line="260" w:lineRule="exact"/>
              <w:ind w:left="1443"/>
              <w:rPr>
                <w:szCs w:val="24"/>
              </w:rPr>
            </w:pPr>
            <w:r>
              <w:rPr>
                <w:szCs w:val="24"/>
              </w:rPr>
              <w:t>Oth</w:t>
            </w:r>
            <w:r>
              <w:rPr>
                <w:spacing w:val="-1"/>
                <w:szCs w:val="24"/>
              </w:rPr>
              <w:t>e</w:t>
            </w:r>
            <w:r>
              <w:rPr>
                <w:szCs w:val="24"/>
              </w:rPr>
              <w:t>r</w:t>
            </w:r>
            <w:r>
              <w:rPr>
                <w:spacing w:val="1"/>
                <w:szCs w:val="24"/>
              </w:rPr>
              <w:t xml:space="preserve"> </w:t>
            </w:r>
            <w:proofErr w:type="spellStart"/>
            <w:r>
              <w:rPr>
                <w:spacing w:val="-3"/>
                <w:szCs w:val="24"/>
              </w:rPr>
              <w:t>L</w:t>
            </w:r>
            <w:r>
              <w:rPr>
                <w:szCs w:val="24"/>
              </w:rPr>
              <w:t>iab</w:t>
            </w:r>
            <w:proofErr w:type="spellEnd"/>
            <w:r>
              <w:rPr>
                <w:szCs w:val="24"/>
              </w:rPr>
              <w:t xml:space="preserve">.               </w:t>
            </w:r>
            <w:r>
              <w:rPr>
                <w:spacing w:val="20"/>
                <w:szCs w:val="24"/>
              </w:rPr>
              <w:t xml:space="preserve"> </w:t>
            </w:r>
            <w:r>
              <w:rPr>
                <w:szCs w:val="24"/>
              </w:rPr>
              <w:t>1300</w:t>
            </w:r>
          </w:p>
        </w:tc>
      </w:tr>
      <w:tr w:rsidR="002D5CF3" w:rsidTr="00E4062C">
        <w:trPr>
          <w:trHeight w:hRule="exact" w:val="346"/>
        </w:trPr>
        <w:tc>
          <w:tcPr>
            <w:tcW w:w="3416" w:type="dxa"/>
            <w:tcBorders>
              <w:top w:val="nil"/>
              <w:left w:val="single" w:sz="8" w:space="0" w:color="000000"/>
              <w:bottom w:val="single" w:sz="11" w:space="0" w:color="FFFFFF"/>
              <w:right w:val="nil"/>
            </w:tcBorders>
          </w:tcPr>
          <w:p w:rsidR="002D5CF3" w:rsidRDefault="002D5CF3" w:rsidP="00E4062C"/>
        </w:tc>
        <w:tc>
          <w:tcPr>
            <w:tcW w:w="1560" w:type="dxa"/>
            <w:tcBorders>
              <w:top w:val="single" w:sz="5" w:space="0" w:color="000000"/>
              <w:left w:val="nil"/>
              <w:bottom w:val="single" w:sz="7" w:space="0" w:color="000000"/>
              <w:right w:val="nil"/>
            </w:tcBorders>
          </w:tcPr>
          <w:p w:rsidR="002D5CF3" w:rsidRDefault="002D5CF3" w:rsidP="00E4062C">
            <w:pPr>
              <w:spacing w:before="15"/>
              <w:ind w:left="828"/>
              <w:rPr>
                <w:szCs w:val="24"/>
              </w:rPr>
            </w:pPr>
            <w:r>
              <w:rPr>
                <w:szCs w:val="24"/>
              </w:rPr>
              <w:t>2900</w:t>
            </w:r>
          </w:p>
        </w:tc>
        <w:tc>
          <w:tcPr>
            <w:tcW w:w="5344" w:type="dxa"/>
            <w:tcBorders>
              <w:top w:val="nil"/>
              <w:left w:val="nil"/>
              <w:bottom w:val="nil"/>
              <w:right w:val="single" w:sz="8" w:space="0" w:color="000000"/>
            </w:tcBorders>
          </w:tcPr>
          <w:p w:rsidR="002D5CF3" w:rsidRDefault="002D5CF3" w:rsidP="00E4062C">
            <w:pPr>
              <w:spacing w:before="15"/>
              <w:ind w:left="1563"/>
              <w:rPr>
                <w:szCs w:val="24"/>
              </w:rPr>
            </w:pPr>
            <w:r>
              <w:rPr>
                <w:szCs w:val="24"/>
              </w:rPr>
              <w:t>Equi</w:t>
            </w:r>
            <w:r>
              <w:rPr>
                <w:spacing w:val="3"/>
                <w:szCs w:val="24"/>
              </w:rPr>
              <w:t>t</w:t>
            </w:r>
            <w:r>
              <w:rPr>
                <w:szCs w:val="24"/>
              </w:rPr>
              <w:t xml:space="preserve">y          </w:t>
            </w:r>
            <w:r>
              <w:rPr>
                <w:spacing w:val="6"/>
                <w:szCs w:val="24"/>
              </w:rPr>
              <w:t xml:space="preserve"> </w:t>
            </w:r>
            <w:r>
              <w:rPr>
                <w:szCs w:val="24"/>
                <w:u w:val="single" w:color="000000"/>
              </w:rPr>
              <w:t xml:space="preserve">            </w:t>
            </w:r>
            <w:r>
              <w:rPr>
                <w:spacing w:val="-5"/>
                <w:szCs w:val="24"/>
                <w:u w:val="single" w:color="000000"/>
              </w:rPr>
              <w:t xml:space="preserve"> </w:t>
            </w:r>
            <w:r>
              <w:rPr>
                <w:szCs w:val="24"/>
                <w:u w:val="single" w:color="000000"/>
              </w:rPr>
              <w:t xml:space="preserve">200 </w:t>
            </w:r>
            <w:r>
              <w:rPr>
                <w:spacing w:val="-12"/>
                <w:szCs w:val="24"/>
                <w:u w:val="single" w:color="000000"/>
              </w:rPr>
              <w:t xml:space="preserve"> </w:t>
            </w:r>
          </w:p>
        </w:tc>
      </w:tr>
      <w:tr w:rsidR="002D5CF3" w:rsidTr="00E4062C">
        <w:trPr>
          <w:trHeight w:hRule="exact" w:val="336"/>
        </w:trPr>
        <w:tc>
          <w:tcPr>
            <w:tcW w:w="3416" w:type="dxa"/>
            <w:tcBorders>
              <w:top w:val="single" w:sz="11" w:space="0" w:color="FFFFFF"/>
              <w:left w:val="single" w:sz="8" w:space="0" w:color="000000"/>
              <w:bottom w:val="single" w:sz="8" w:space="0" w:color="000000"/>
              <w:right w:val="nil"/>
            </w:tcBorders>
          </w:tcPr>
          <w:p w:rsidR="002D5CF3" w:rsidRDefault="002D5CF3" w:rsidP="00E4062C"/>
        </w:tc>
        <w:tc>
          <w:tcPr>
            <w:tcW w:w="1560" w:type="dxa"/>
            <w:tcBorders>
              <w:top w:val="single" w:sz="7" w:space="0" w:color="000000"/>
              <w:left w:val="nil"/>
              <w:bottom w:val="single" w:sz="7" w:space="0" w:color="000000"/>
              <w:right w:val="nil"/>
            </w:tcBorders>
          </w:tcPr>
          <w:p w:rsidR="002D5CF3" w:rsidRDefault="002D5CF3" w:rsidP="00E4062C"/>
        </w:tc>
        <w:tc>
          <w:tcPr>
            <w:tcW w:w="5344" w:type="dxa"/>
            <w:tcBorders>
              <w:top w:val="nil"/>
              <w:left w:val="nil"/>
              <w:bottom w:val="single" w:sz="8" w:space="0" w:color="000000"/>
              <w:right w:val="single" w:sz="8" w:space="0" w:color="000000"/>
            </w:tcBorders>
          </w:tcPr>
          <w:p w:rsidR="002D5CF3" w:rsidRDefault="002D5CF3" w:rsidP="00E4062C">
            <w:pPr>
              <w:spacing w:before="29"/>
              <w:ind w:left="3527"/>
              <w:rPr>
                <w:szCs w:val="24"/>
              </w:rPr>
            </w:pPr>
            <w:r>
              <w:rPr>
                <w:szCs w:val="24"/>
              </w:rPr>
              <w:t>2900</w:t>
            </w:r>
          </w:p>
        </w:tc>
      </w:tr>
    </w:tbl>
    <w:p w:rsidR="002D5CF3" w:rsidRPr="002D5CF3" w:rsidRDefault="002D5CF3" w:rsidP="002D5CF3">
      <w:pPr>
        <w:rPr>
          <w:b/>
        </w:rPr>
      </w:pPr>
    </w:p>
    <w:p w:rsidR="002D5CF3" w:rsidRPr="002D5CF3" w:rsidRDefault="002D5CF3" w:rsidP="002D5CF3">
      <w:pPr>
        <w:rPr>
          <w:b/>
        </w:rPr>
      </w:pPr>
      <w:r w:rsidRPr="002D5CF3">
        <w:rPr>
          <w:b/>
        </w:rPr>
        <w:t>Scenarios for Impact analysis:</w:t>
      </w:r>
    </w:p>
    <w:p w:rsidR="002D5CF3" w:rsidRPr="002D5CF3" w:rsidRDefault="002D5CF3" w:rsidP="002D5CF3">
      <w:pPr>
        <w:rPr>
          <w:b/>
        </w:rPr>
      </w:pPr>
      <w:r w:rsidRPr="002D5CF3">
        <w:rPr>
          <w:b/>
        </w:rPr>
        <w:t>1.</w:t>
      </w:r>
      <w:r>
        <w:rPr>
          <w:b/>
        </w:rPr>
        <w:t xml:space="preserve"> Interest rates increased by 1%</w:t>
      </w:r>
    </w:p>
    <w:p w:rsidR="002D5CF3" w:rsidRDefault="002D5CF3" w:rsidP="002D5CF3">
      <w:pPr>
        <w:rPr>
          <w:b/>
        </w:rPr>
      </w:pPr>
      <w:r w:rsidRPr="002D5CF3">
        <w:rPr>
          <w:b/>
        </w:rPr>
        <w:t>2. Interest rates decreased by 1%</w:t>
      </w:r>
    </w:p>
    <w:p w:rsidR="002D5CF3" w:rsidRPr="002D5CF3" w:rsidRDefault="002D5CF3" w:rsidP="002D5CF3">
      <w:pPr>
        <w:rPr>
          <w:b/>
        </w:rPr>
      </w:pPr>
      <w:r w:rsidRPr="002D5CF3">
        <w:rPr>
          <w:b/>
        </w:rPr>
        <w:t>(10 Marks)</w:t>
      </w:r>
    </w:p>
    <w:p w:rsidR="00460416" w:rsidRPr="008C6B39" w:rsidRDefault="00460416" w:rsidP="008C6B39">
      <w:pPr>
        <w:pStyle w:val="Heading1"/>
        <w:rPr>
          <w:color w:val="000000"/>
          <w:sz w:val="24"/>
          <w:szCs w:val="24"/>
        </w:rPr>
      </w:pPr>
      <w:r w:rsidRPr="008C6B39">
        <w:rPr>
          <w:color w:val="000000"/>
          <w:sz w:val="24"/>
          <w:szCs w:val="24"/>
        </w:rPr>
        <w:t>Answer 1</w:t>
      </w:r>
      <w:bookmarkEnd w:id="0"/>
      <w:r w:rsidR="002D5CF3">
        <w:rPr>
          <w:color w:val="000000"/>
          <w:sz w:val="24"/>
          <w:szCs w:val="24"/>
        </w:rPr>
        <w:t>.</w:t>
      </w:r>
    </w:p>
    <w:p w:rsidR="00460416" w:rsidRPr="008C6B39" w:rsidRDefault="00460416" w:rsidP="00967837">
      <w:pPr>
        <w:pStyle w:val="Heading2"/>
        <w:rPr>
          <w:color w:val="000000"/>
          <w:sz w:val="24"/>
          <w:szCs w:val="24"/>
        </w:rPr>
      </w:pPr>
      <w:bookmarkStart w:id="1" w:name="_Toc99535987"/>
      <w:r w:rsidRPr="008C6B39">
        <w:rPr>
          <w:color w:val="000000"/>
          <w:sz w:val="24"/>
          <w:szCs w:val="24"/>
        </w:rPr>
        <w:t>Introduction</w:t>
      </w:r>
      <w:bookmarkEnd w:id="1"/>
    </w:p>
    <w:p w:rsidR="00967837" w:rsidRDefault="00460416" w:rsidP="00967837">
      <w:pPr>
        <w:shd w:val="clear" w:color="auto" w:fill="FFFFFF"/>
        <w:rPr>
          <w:rFonts w:cs="Calibri"/>
          <w:color w:val="222222"/>
        </w:rPr>
      </w:pPr>
      <w:r w:rsidRPr="008C6B39">
        <w:rPr>
          <w:szCs w:val="24"/>
        </w:rPr>
        <w:t xml:space="preserve">It's far a manner of resolving disputes among the property and liabilities of a company. It is a degree of the sensitivity of the cost stability to exchange inside the interest rate price inside the market. Further, it is determined as the difference between the predicted length of the asset and the manufactured from the constrained liability period and the connection between the total liability and the entire </w:t>
      </w:r>
      <w:bookmarkStart w:id="2" w:name="_Toc99535990"/>
      <w:r w:rsidR="00967837">
        <w:rPr>
          <w:rFonts w:ascii="Georgia" w:hAnsi="Georgia" w:cs="Calibri"/>
          <w:sz w:val="33"/>
          <w:szCs w:val="33"/>
          <w:shd w:val="clear" w:color="auto" w:fill="FF0000"/>
        </w:rPr>
        <w:t>Its Half solved only</w:t>
      </w:r>
    </w:p>
    <w:p w:rsidR="00967837" w:rsidRDefault="00967837" w:rsidP="00967837">
      <w:pPr>
        <w:shd w:val="clear" w:color="auto" w:fill="FFFFFF"/>
        <w:jc w:val="center"/>
        <w:rPr>
          <w:rFonts w:cs="Calibri"/>
          <w:color w:val="222222"/>
        </w:rPr>
      </w:pPr>
      <w:r>
        <w:rPr>
          <w:rFonts w:ascii="Georgia" w:hAnsi="Georgia" w:cs="Calibri"/>
          <w:color w:val="222222"/>
          <w:sz w:val="33"/>
          <w:szCs w:val="33"/>
          <w:shd w:val="clear" w:color="auto" w:fill="FFFF00"/>
        </w:rPr>
        <w:lastRenderedPageBreak/>
        <w:t>Buy Complete from our online store</w:t>
      </w:r>
    </w:p>
    <w:p w:rsidR="00967837" w:rsidRDefault="00967837" w:rsidP="00967837">
      <w:pPr>
        <w:shd w:val="clear" w:color="auto" w:fill="FFFFFF"/>
        <w:jc w:val="center"/>
        <w:rPr>
          <w:rFonts w:cs="Calibri"/>
          <w:color w:val="222222"/>
        </w:rPr>
      </w:pPr>
    </w:p>
    <w:p w:rsidR="00967837" w:rsidRDefault="00967837" w:rsidP="00967837">
      <w:pPr>
        <w:shd w:val="clear" w:color="auto" w:fill="FFFFFF"/>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967837" w:rsidRDefault="00967837" w:rsidP="00967837">
      <w:pPr>
        <w:shd w:val="clear" w:color="auto" w:fill="FFFFFF"/>
        <w:jc w:val="center"/>
        <w:rPr>
          <w:rFonts w:cs="Calibri"/>
          <w:color w:val="222222"/>
        </w:rPr>
      </w:pPr>
    </w:p>
    <w:p w:rsidR="00967837" w:rsidRDefault="00967837" w:rsidP="00967837">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967837" w:rsidRDefault="00967837" w:rsidP="00967837">
      <w:pPr>
        <w:shd w:val="clear" w:color="auto" w:fill="FFFFFF"/>
        <w:jc w:val="center"/>
        <w:rPr>
          <w:rFonts w:ascii="Arial" w:hAnsi="Arial" w:cs="Calibri"/>
          <w:color w:val="222222"/>
        </w:rPr>
      </w:pPr>
    </w:p>
    <w:p w:rsidR="00967837" w:rsidRDefault="00967837" w:rsidP="00967837">
      <w:pPr>
        <w:shd w:val="clear" w:color="auto" w:fill="FFFFFF"/>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967837" w:rsidRDefault="00967837" w:rsidP="00967837">
      <w:pPr>
        <w:shd w:val="clear" w:color="auto" w:fill="E8EAED"/>
        <w:jc w:val="center"/>
        <w:rPr>
          <w:rFonts w:cs="Arial"/>
          <w:color w:val="222222"/>
          <w:szCs w:val="24"/>
        </w:rPr>
      </w:pPr>
      <w:r>
        <w:rPr>
          <w:noProof/>
          <w:color w:val="222222"/>
          <w:szCs w:val="24"/>
        </w:rPr>
        <w:drawing>
          <wp:inline distT="0" distB="0" distL="0" distR="0">
            <wp:extent cx="9525" cy="952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67837" w:rsidRDefault="00967837" w:rsidP="00967837">
      <w:pPr>
        <w:shd w:val="clear" w:color="auto" w:fill="FFFFFF"/>
        <w:jc w:val="center"/>
        <w:rPr>
          <w:rFonts w:cs="Calibri"/>
          <w:color w:val="500050"/>
        </w:rPr>
      </w:pPr>
      <w:r>
        <w:rPr>
          <w:rFonts w:ascii="Georgia" w:hAnsi="Georgia" w:cs="Calibri"/>
          <w:color w:val="500050"/>
          <w:sz w:val="33"/>
          <w:szCs w:val="33"/>
        </w:rPr>
        <w:t>Lowest price guarantee with quality.</w:t>
      </w:r>
    </w:p>
    <w:p w:rsidR="00967837" w:rsidRDefault="00967837" w:rsidP="00967837">
      <w:pPr>
        <w:shd w:val="clear" w:color="auto" w:fill="FFFFFF"/>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w:t>
      </w:r>
      <w:proofErr w:type="gramStart"/>
      <w:r>
        <w:rPr>
          <w:rFonts w:ascii="Georgia" w:hAnsi="Georgia" w:cs="Calibri"/>
          <w:color w:val="500050"/>
          <w:sz w:val="33"/>
          <w:szCs w:val="33"/>
        </w:rPr>
        <w:t>information</w:t>
      </w:r>
      <w:proofErr w:type="gramEnd"/>
      <w:r>
        <w:rPr>
          <w:rFonts w:ascii="Georgia" w:hAnsi="Georgia" w:cs="Calibri"/>
          <w:color w:val="500050"/>
          <w:sz w:val="33"/>
          <w:szCs w:val="33"/>
        </w:rPr>
        <w:t xml:space="preserve">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967837" w:rsidRDefault="00967837" w:rsidP="00967837">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967837" w:rsidRDefault="00967837" w:rsidP="00967837">
      <w:pPr>
        <w:shd w:val="clear" w:color="auto" w:fill="FFFFFF"/>
        <w:jc w:val="center"/>
        <w:rPr>
          <w:rFonts w:cs="Calibri"/>
          <w:color w:val="500050"/>
        </w:rPr>
      </w:pPr>
    </w:p>
    <w:p w:rsidR="00967837" w:rsidRDefault="00967837" w:rsidP="00967837">
      <w:pPr>
        <w:shd w:val="clear" w:color="auto" w:fill="FFFFFF"/>
        <w:spacing w:after="24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967837" w:rsidRDefault="00967837" w:rsidP="00967837">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967837" w:rsidRDefault="00967837" w:rsidP="00967837">
      <w:pPr>
        <w:shd w:val="clear" w:color="auto" w:fill="FFFFFF"/>
        <w:jc w:val="center"/>
        <w:rPr>
          <w:rFonts w:cs="Calibri"/>
          <w:color w:val="500050"/>
        </w:rPr>
      </w:pPr>
      <w:r>
        <w:rPr>
          <w:rFonts w:ascii="Georgia" w:hAnsi="Georgia" w:cs="Calibri"/>
          <w:color w:val="500050"/>
          <w:sz w:val="33"/>
          <w:szCs w:val="33"/>
        </w:rPr>
        <w:t>1 hour.</w:t>
      </w:r>
    </w:p>
    <w:p w:rsidR="00967837" w:rsidRDefault="00967837" w:rsidP="00967837">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67837" w:rsidRDefault="00967837" w:rsidP="00967837">
      <w:pPr>
        <w:shd w:val="clear" w:color="auto" w:fill="FFFFFF"/>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967837" w:rsidRDefault="00967837" w:rsidP="00967837">
      <w:pPr>
        <w:shd w:val="clear" w:color="auto" w:fill="FFFFFF"/>
        <w:jc w:val="center"/>
        <w:rPr>
          <w:rFonts w:cs="Calibri"/>
          <w:color w:val="500050"/>
        </w:rPr>
      </w:pPr>
      <w:r>
        <w:rPr>
          <w:rFonts w:ascii="Georgia" w:hAnsi="Georgia" w:cs="Calibri"/>
          <w:color w:val="500050"/>
          <w:sz w:val="33"/>
          <w:szCs w:val="33"/>
          <w:shd w:val="clear" w:color="auto" w:fill="FF0000"/>
        </w:rPr>
        <w:lastRenderedPageBreak/>
        <w:t>Contact no is +91 87-55555-879</w:t>
      </w:r>
    </w:p>
    <w:p w:rsidR="002D5CF3" w:rsidRDefault="002D5CF3" w:rsidP="00967837">
      <w:pPr>
        <w:rPr>
          <w:szCs w:val="24"/>
        </w:rPr>
      </w:pPr>
    </w:p>
    <w:p w:rsidR="002D5CF3" w:rsidRPr="002D5CF3" w:rsidRDefault="002D5CF3" w:rsidP="002D5CF3">
      <w:pPr>
        <w:rPr>
          <w:b/>
        </w:rPr>
      </w:pPr>
      <w:r w:rsidRPr="002D5CF3">
        <w:rPr>
          <w:b/>
        </w:rPr>
        <w:t xml:space="preserve">Q2. Visit www.world governmentbonds.com. </w:t>
      </w:r>
      <w:proofErr w:type="gramStart"/>
      <w:r w:rsidRPr="002D5CF3">
        <w:rPr>
          <w:b/>
        </w:rPr>
        <w:t>and</w:t>
      </w:r>
      <w:proofErr w:type="gramEnd"/>
      <w:r w:rsidRPr="002D5CF3">
        <w:rPr>
          <w:b/>
        </w:rPr>
        <w:t xml:space="preserve"> analyze the yield curves shapes of US, UK, Germany and Indian GOI bond yield curve. Explain your analysis in terms of shape and expectation about state of these economies.  (10 Marks)</w:t>
      </w:r>
    </w:p>
    <w:p w:rsidR="002D5CF3" w:rsidRDefault="00460416" w:rsidP="002D5CF3">
      <w:pPr>
        <w:rPr>
          <w:b/>
          <w:szCs w:val="24"/>
        </w:rPr>
      </w:pPr>
      <w:r w:rsidRPr="002D5CF3">
        <w:rPr>
          <w:b/>
          <w:szCs w:val="24"/>
        </w:rPr>
        <w:t>Answer 2</w:t>
      </w:r>
      <w:bookmarkEnd w:id="2"/>
      <w:r w:rsidR="002D5CF3" w:rsidRPr="002D5CF3">
        <w:rPr>
          <w:b/>
          <w:szCs w:val="24"/>
        </w:rPr>
        <w:t>.</w:t>
      </w:r>
      <w:bookmarkStart w:id="3" w:name="_Toc99535991"/>
    </w:p>
    <w:p w:rsidR="00644C0B" w:rsidRPr="002D5CF3" w:rsidRDefault="00460416" w:rsidP="002D5CF3">
      <w:pPr>
        <w:rPr>
          <w:b/>
        </w:rPr>
      </w:pPr>
      <w:r w:rsidRPr="002D5CF3">
        <w:rPr>
          <w:b/>
          <w:szCs w:val="24"/>
        </w:rPr>
        <w:t>Introduction</w:t>
      </w:r>
      <w:bookmarkEnd w:id="3"/>
    </w:p>
    <w:p w:rsidR="00460416" w:rsidRDefault="00460416" w:rsidP="00967837">
      <w:pPr>
        <w:rPr>
          <w:szCs w:val="24"/>
        </w:rPr>
      </w:pPr>
      <w:r w:rsidRPr="008C6B39">
        <w:rPr>
          <w:szCs w:val="24"/>
        </w:rPr>
        <w:t xml:space="preserve">In finance, a yield curve is a graph that units out the bond benefits of a specific provider on an instant axis (Y-axis) in opposition to multiple tenders and adulthood on a horizontal axis (X-axis). Future interest charge fluctuations are predicted with the aid of the decline in yield, giving rise to the value of the future economic activity. Often, while you pay attention to 'market' experts speaking about a yield </w:t>
      </w:r>
      <w:r w:rsidR="00644C0B" w:rsidRPr="008C6B39">
        <w:rPr>
          <w:szCs w:val="24"/>
        </w:rPr>
        <w:t>curve;</w:t>
      </w:r>
      <w:r w:rsidRPr="008C6B39">
        <w:rPr>
          <w:szCs w:val="24"/>
        </w:rPr>
        <w:t xml:space="preserve"> they are regarding the yield curve of presidency bonds, now not corporate bonds. In particular, company bond yield curves are mentioned in this </w:t>
      </w:r>
    </w:p>
    <w:p w:rsidR="00967837" w:rsidRDefault="00967837" w:rsidP="00967837">
      <w:bookmarkStart w:id="4" w:name="_Toc99535994"/>
    </w:p>
    <w:p w:rsidR="00967837" w:rsidRDefault="00967837" w:rsidP="00967837"/>
    <w:p w:rsidR="00967837" w:rsidRDefault="00967837" w:rsidP="00967837">
      <w:pPr>
        <w:rPr>
          <w:b/>
        </w:rPr>
      </w:pPr>
    </w:p>
    <w:p w:rsidR="002D5CF3" w:rsidRPr="00967837" w:rsidRDefault="00967837" w:rsidP="00967837">
      <w:pPr>
        <w:rPr>
          <w:b/>
        </w:rPr>
      </w:pPr>
      <w:r>
        <w:rPr>
          <w:b/>
        </w:rPr>
        <w:t>Q</w:t>
      </w:r>
      <w:r w:rsidR="002D5CF3" w:rsidRPr="00967837">
        <w:rPr>
          <w:b/>
        </w:rPr>
        <w:t>3. Case study</w:t>
      </w:r>
    </w:p>
    <w:p w:rsidR="002D5CF3" w:rsidRPr="00967837" w:rsidRDefault="002D5CF3" w:rsidP="00967837">
      <w:pPr>
        <w:rPr>
          <w:b/>
        </w:rPr>
      </w:pPr>
      <w:proofErr w:type="spellStart"/>
      <w:r w:rsidRPr="00967837">
        <w:rPr>
          <w:b/>
        </w:rPr>
        <w:t>Vistara</w:t>
      </w:r>
      <w:proofErr w:type="spellEnd"/>
      <w:r w:rsidRPr="00967837">
        <w:rPr>
          <w:b/>
        </w:rPr>
        <w:t xml:space="preserve"> Ltd. has imported spare parts worth 1 million USD and the invoice is payable in</w:t>
      </w:r>
    </w:p>
    <w:p w:rsidR="002D5CF3" w:rsidRPr="00967837" w:rsidRDefault="002D5CF3" w:rsidP="00967837">
      <w:pPr>
        <w:rPr>
          <w:b/>
        </w:rPr>
      </w:pPr>
      <w:r w:rsidRPr="00967837">
        <w:rPr>
          <w:b/>
        </w:rPr>
        <w:t>180 days. Current Spot rate in the market is USD/INR 75.</w:t>
      </w:r>
    </w:p>
    <w:p w:rsidR="002D5CF3" w:rsidRPr="00967837" w:rsidRDefault="002D5CF3" w:rsidP="00967837">
      <w:pPr>
        <w:rPr>
          <w:b/>
        </w:rPr>
      </w:pPr>
      <w:r w:rsidRPr="00967837">
        <w:rPr>
          <w:b/>
        </w:rPr>
        <w:t>You are required to calculate impact on transaction exposure under following scenarios:</w:t>
      </w:r>
    </w:p>
    <w:p w:rsidR="002D5CF3" w:rsidRPr="00967837" w:rsidRDefault="002D5CF3" w:rsidP="00967837">
      <w:pPr>
        <w:rPr>
          <w:b/>
        </w:rPr>
      </w:pPr>
      <w:r w:rsidRPr="00967837">
        <w:rPr>
          <w:b/>
        </w:rPr>
        <w:t>a. Company decides to use Forward Market for hedging and wants you determine the 180 days forward rate (based in IRP) given interest rates in India as 6% per annum and Interest rates in US as 1% per annum and suggest the relevant position it should take in this forward.    (5 Marks)</w:t>
      </w:r>
    </w:p>
    <w:p w:rsidR="00460416" w:rsidRPr="00967837" w:rsidRDefault="00460416" w:rsidP="00967837">
      <w:pPr>
        <w:rPr>
          <w:b/>
        </w:rPr>
      </w:pPr>
      <w:r w:rsidRPr="00967837">
        <w:rPr>
          <w:b/>
        </w:rPr>
        <w:t>Answer 3 (A)</w:t>
      </w:r>
      <w:bookmarkEnd w:id="4"/>
      <w:r w:rsidR="002D5CF3" w:rsidRPr="00967837">
        <w:rPr>
          <w:b/>
        </w:rPr>
        <w:t>.</w:t>
      </w:r>
    </w:p>
    <w:p w:rsidR="00644C0B" w:rsidRPr="002D5CF3" w:rsidRDefault="00460416" w:rsidP="002D5CF3">
      <w:pPr>
        <w:pStyle w:val="Heading2"/>
        <w:rPr>
          <w:color w:val="000000"/>
          <w:sz w:val="24"/>
          <w:szCs w:val="24"/>
        </w:rPr>
      </w:pPr>
      <w:bookmarkStart w:id="5" w:name="_Toc99535995"/>
      <w:r w:rsidRPr="008C6B39">
        <w:rPr>
          <w:color w:val="000000"/>
          <w:sz w:val="24"/>
          <w:szCs w:val="24"/>
        </w:rPr>
        <w:lastRenderedPageBreak/>
        <w:t>Introduction</w:t>
      </w:r>
      <w:bookmarkEnd w:id="5"/>
    </w:p>
    <w:p w:rsidR="002D5CF3" w:rsidRDefault="00460416" w:rsidP="00967837">
      <w:pPr>
        <w:rPr>
          <w:b/>
          <w:szCs w:val="24"/>
        </w:rPr>
      </w:pPr>
      <w:r w:rsidRPr="008C6B39">
        <w:rPr>
          <w:szCs w:val="24"/>
        </w:rPr>
        <w:t xml:space="preserve">In cases wherein companies pay or receive cash transactions in foreign currencies with variable exchange fees, they must manage the danger of transactions. If a company expects to get hold of coins bills in variable foreign money, it can create an extended hazard of the transaction. It is </w:t>
      </w:r>
    </w:p>
    <w:p w:rsidR="002D5CF3" w:rsidRDefault="002D5CF3" w:rsidP="008C6B39">
      <w:pPr>
        <w:rPr>
          <w:b/>
          <w:szCs w:val="24"/>
        </w:rPr>
      </w:pPr>
    </w:p>
    <w:p w:rsidR="002D5CF3" w:rsidRDefault="002D5CF3" w:rsidP="008C6B39">
      <w:pPr>
        <w:rPr>
          <w:b/>
          <w:szCs w:val="24"/>
        </w:rPr>
      </w:pPr>
      <w:proofErr w:type="spellStart"/>
      <w:proofErr w:type="gramStart"/>
      <w:r>
        <w:rPr>
          <w:b/>
          <w:szCs w:val="24"/>
        </w:rPr>
        <w:t>Q</w:t>
      </w:r>
      <w:r w:rsidRPr="002D5CF3">
        <w:rPr>
          <w:b/>
          <w:szCs w:val="24"/>
        </w:rPr>
        <w:t>b</w:t>
      </w:r>
      <w:proofErr w:type="spellEnd"/>
      <w:r w:rsidRPr="002D5CF3">
        <w:rPr>
          <w:b/>
          <w:szCs w:val="24"/>
        </w:rPr>
        <w:t>.</w:t>
      </w:r>
      <w:proofErr w:type="gramEnd"/>
      <w:r w:rsidRPr="002D5CF3">
        <w:rPr>
          <w:b/>
          <w:szCs w:val="24"/>
        </w:rPr>
        <w:t xml:space="preserve"> Is it always necessary that the </w:t>
      </w:r>
      <w:proofErr w:type="spellStart"/>
      <w:r w:rsidRPr="002D5CF3">
        <w:rPr>
          <w:b/>
          <w:szCs w:val="24"/>
        </w:rPr>
        <w:t>forex</w:t>
      </w:r>
      <w:proofErr w:type="spellEnd"/>
      <w:r w:rsidRPr="002D5CF3">
        <w:rPr>
          <w:b/>
          <w:szCs w:val="24"/>
        </w:rPr>
        <w:t xml:space="preserve"> exposure should be hedged? What will you suggest to </w:t>
      </w:r>
      <w:proofErr w:type="spellStart"/>
      <w:r w:rsidRPr="002D5CF3">
        <w:rPr>
          <w:b/>
          <w:szCs w:val="24"/>
        </w:rPr>
        <w:t>Vistara</w:t>
      </w:r>
      <w:proofErr w:type="spellEnd"/>
      <w:r w:rsidRPr="002D5CF3">
        <w:rPr>
          <w:b/>
          <w:szCs w:val="24"/>
        </w:rPr>
        <w:t xml:space="preserve"> if USDINR is expected to be around 76 after 180 </w:t>
      </w:r>
      <w:proofErr w:type="gramStart"/>
      <w:r w:rsidRPr="002D5CF3">
        <w:rPr>
          <w:b/>
          <w:szCs w:val="24"/>
        </w:rPr>
        <w:t>days.</w:t>
      </w:r>
      <w:proofErr w:type="gramEnd"/>
      <w:r w:rsidRPr="002D5CF3">
        <w:rPr>
          <w:b/>
          <w:szCs w:val="24"/>
        </w:rPr>
        <w:t xml:space="preserve">    (5 Marks)</w:t>
      </w:r>
    </w:p>
    <w:p w:rsidR="00460416" w:rsidRPr="008C6B39" w:rsidRDefault="00644C0B" w:rsidP="008C6B39">
      <w:pPr>
        <w:rPr>
          <w:b/>
          <w:szCs w:val="24"/>
        </w:rPr>
      </w:pPr>
      <w:r w:rsidRPr="008C6B39">
        <w:rPr>
          <w:b/>
          <w:szCs w:val="24"/>
        </w:rPr>
        <w:t>Answer</w:t>
      </w:r>
      <w:r w:rsidR="00460416" w:rsidRPr="008C6B39">
        <w:rPr>
          <w:b/>
          <w:szCs w:val="24"/>
        </w:rPr>
        <w:t xml:space="preserve"> 3 (B)</w:t>
      </w:r>
      <w:r w:rsidR="002D5CF3">
        <w:rPr>
          <w:b/>
          <w:szCs w:val="24"/>
        </w:rPr>
        <w:t>.</w:t>
      </w:r>
    </w:p>
    <w:p w:rsidR="00460416" w:rsidRPr="008C6B39" w:rsidRDefault="00644C0B" w:rsidP="008C6B39">
      <w:pPr>
        <w:rPr>
          <w:b/>
          <w:szCs w:val="24"/>
        </w:rPr>
      </w:pPr>
      <w:r w:rsidRPr="008C6B39">
        <w:rPr>
          <w:b/>
          <w:szCs w:val="24"/>
        </w:rPr>
        <w:t>Introduction</w:t>
      </w:r>
    </w:p>
    <w:p w:rsidR="00460416" w:rsidRPr="008C6B39" w:rsidRDefault="00460416" w:rsidP="00967837">
      <w:pPr>
        <w:rPr>
          <w:szCs w:val="24"/>
        </w:rPr>
      </w:pPr>
      <w:r w:rsidRPr="008C6B39">
        <w:rPr>
          <w:szCs w:val="24"/>
        </w:rPr>
        <w:t xml:space="preserve">A previous marketplace (additionally known as currency ahead) hedge is one of the most extensively used strategies for controlling or defensive the transaction dangers utilized by businesses today. Generally, pre-marketplace safety is the procedure by which an organization </w:t>
      </w:r>
    </w:p>
    <w:sectPr w:rsidR="00460416" w:rsidRPr="008C6B39"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altName w:val="MS Mincho"/>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YyNzMztTA2t7SwMLJQ0lEKTi0uzszPAykwrgUAJJUc1ywAAAA="/>
  </w:docVars>
  <w:rsids>
    <w:rsidRoot w:val="00460416"/>
    <w:rsid w:val="002D5CF3"/>
    <w:rsid w:val="002F5109"/>
    <w:rsid w:val="00460416"/>
    <w:rsid w:val="00583873"/>
    <w:rsid w:val="00644C0B"/>
    <w:rsid w:val="006748E4"/>
    <w:rsid w:val="008C6B39"/>
    <w:rsid w:val="00967837"/>
    <w:rsid w:val="00BD1BB9"/>
    <w:rsid w:val="00C05688"/>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16"/>
    <w:pPr>
      <w:spacing w:after="160" w:line="360" w:lineRule="auto"/>
      <w:jc w:val="both"/>
    </w:pPr>
    <w:rPr>
      <w:rFonts w:ascii="Times New Roman" w:eastAsia="Calibri" w:hAnsi="Times New Roman" w:cs="Times New Roman"/>
      <w:color w:val="000000"/>
      <w:sz w:val="24"/>
      <w:lang w:val="en-IN"/>
    </w:rPr>
  </w:style>
  <w:style w:type="paragraph" w:styleId="Heading1">
    <w:name w:val="heading 1"/>
    <w:basedOn w:val="Normal"/>
    <w:next w:val="Normal"/>
    <w:link w:val="Heading1Char"/>
    <w:uiPriority w:val="9"/>
    <w:qFormat/>
    <w:rsid w:val="00460416"/>
    <w:pPr>
      <w:keepNext/>
      <w:keepLines/>
      <w:spacing w:before="240" w:after="0"/>
      <w:outlineLvl w:val="0"/>
    </w:pPr>
    <w:rPr>
      <w:rFonts w:eastAsia="等线 Light"/>
      <w:b/>
      <w:color w:val="2F5496"/>
      <w:sz w:val="28"/>
      <w:szCs w:val="32"/>
    </w:rPr>
  </w:style>
  <w:style w:type="paragraph" w:styleId="Heading2">
    <w:name w:val="heading 2"/>
    <w:basedOn w:val="Normal"/>
    <w:next w:val="Normal"/>
    <w:link w:val="Heading2Char"/>
    <w:uiPriority w:val="9"/>
    <w:unhideWhenUsed/>
    <w:qFormat/>
    <w:rsid w:val="00460416"/>
    <w:pPr>
      <w:keepNext/>
      <w:keepLines/>
      <w:spacing w:before="40" w:after="0"/>
      <w:outlineLvl w:val="1"/>
    </w:pPr>
    <w:rPr>
      <w:rFonts w:eastAsia="等线 Light"/>
      <w:b/>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416"/>
    <w:rPr>
      <w:rFonts w:ascii="Times New Roman" w:eastAsia="等线 Light" w:hAnsi="Times New Roman" w:cs="Times New Roman"/>
      <w:b/>
      <w:color w:val="2F5496"/>
      <w:sz w:val="28"/>
      <w:szCs w:val="32"/>
      <w:lang w:val="en-IN"/>
    </w:rPr>
  </w:style>
  <w:style w:type="character" w:customStyle="1" w:styleId="Heading2Char">
    <w:name w:val="Heading 2 Char"/>
    <w:basedOn w:val="DefaultParagraphFont"/>
    <w:link w:val="Heading2"/>
    <w:uiPriority w:val="9"/>
    <w:rsid w:val="00460416"/>
    <w:rPr>
      <w:rFonts w:ascii="Times New Roman" w:eastAsia="等线 Light" w:hAnsi="Times New Roman" w:cs="Times New Roman"/>
      <w:b/>
      <w:color w:val="2F5496"/>
      <w:sz w:val="26"/>
      <w:szCs w:val="26"/>
      <w:lang w:val="en-IN"/>
    </w:rPr>
  </w:style>
  <w:style w:type="character" w:styleId="Hyperlink">
    <w:name w:val="Hyperlink"/>
    <w:basedOn w:val="DefaultParagraphFont"/>
    <w:uiPriority w:val="99"/>
    <w:semiHidden/>
    <w:unhideWhenUsed/>
    <w:rsid w:val="00967837"/>
    <w:rPr>
      <w:color w:val="0000FF"/>
      <w:u w:val="single"/>
    </w:rPr>
  </w:style>
  <w:style w:type="paragraph" w:styleId="BalloonText">
    <w:name w:val="Balloon Text"/>
    <w:basedOn w:val="Normal"/>
    <w:link w:val="BalloonTextChar"/>
    <w:uiPriority w:val="99"/>
    <w:semiHidden/>
    <w:unhideWhenUsed/>
    <w:rsid w:val="00967837"/>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967837"/>
    <w:rPr>
      <w:rFonts w:ascii="Arial" w:eastAsia="Calibri" w:hAnsi="Arial" w:cs="Arial"/>
      <w:color w:val="000000"/>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2022-04-01T08:50:00Z</dcterms:created>
  <dcterms:modified xsi:type="dcterms:W3CDTF">2022-04-01T17:22:00Z</dcterms:modified>
</cp:coreProperties>
</file>