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BE" w:rsidRPr="00B34EBF" w:rsidRDefault="008704BE" w:rsidP="00B34EBF">
      <w:pPr>
        <w:spacing w:line="360" w:lineRule="auto"/>
        <w:jc w:val="center"/>
        <w:rPr>
          <w:b/>
          <w:szCs w:val="24"/>
          <w:lang w:eastAsia="en-IN"/>
        </w:rPr>
      </w:pPr>
      <w:r w:rsidRPr="00B34EBF">
        <w:rPr>
          <w:b/>
          <w:szCs w:val="24"/>
          <w:lang w:eastAsia="en-IN"/>
        </w:rPr>
        <w:t>Macro Economics</w:t>
      </w:r>
    </w:p>
    <w:p w:rsidR="008704BE" w:rsidRPr="00B34EBF" w:rsidRDefault="00B34EBF" w:rsidP="00B34EBF">
      <w:pPr>
        <w:spacing w:line="360" w:lineRule="auto"/>
        <w:jc w:val="center"/>
        <w:rPr>
          <w:b/>
          <w:szCs w:val="24"/>
          <w:lang w:eastAsia="en-IN"/>
        </w:rPr>
      </w:pPr>
      <w:r w:rsidRPr="00B34EBF">
        <w:rPr>
          <w:b/>
          <w:szCs w:val="24"/>
          <w:lang w:eastAsia="en-IN"/>
        </w:rPr>
        <w:t>June 2022 Examination</w:t>
      </w:r>
    </w:p>
    <w:p w:rsidR="00B34EBF" w:rsidRDefault="00B34EBF" w:rsidP="00B34EBF">
      <w:pPr>
        <w:autoSpaceDE w:val="0"/>
        <w:autoSpaceDN w:val="0"/>
        <w:adjustRightInd w:val="0"/>
        <w:spacing w:after="0" w:line="360" w:lineRule="auto"/>
        <w:rPr>
          <w:b/>
          <w:bCs/>
          <w:szCs w:val="24"/>
          <w:lang w:eastAsia="en-IN"/>
        </w:rPr>
      </w:pPr>
    </w:p>
    <w:p w:rsidR="00B34EBF" w:rsidRDefault="00B34EBF" w:rsidP="00B34EBF">
      <w:pPr>
        <w:autoSpaceDE w:val="0"/>
        <w:autoSpaceDN w:val="0"/>
        <w:adjustRightInd w:val="0"/>
        <w:spacing w:after="0" w:line="360" w:lineRule="auto"/>
        <w:rPr>
          <w:b/>
          <w:bCs/>
          <w:szCs w:val="24"/>
          <w:lang w:eastAsia="en-IN"/>
        </w:rPr>
      </w:pPr>
    </w:p>
    <w:p w:rsidR="00B34EBF" w:rsidRDefault="00B34EBF" w:rsidP="00B34EBF">
      <w:pPr>
        <w:autoSpaceDE w:val="0"/>
        <w:autoSpaceDN w:val="0"/>
        <w:adjustRightInd w:val="0"/>
        <w:spacing w:after="0" w:line="360" w:lineRule="auto"/>
        <w:rPr>
          <w:b/>
          <w:bCs/>
          <w:szCs w:val="24"/>
          <w:lang w:eastAsia="en-IN"/>
        </w:rPr>
      </w:pPr>
    </w:p>
    <w:p w:rsidR="008704BE" w:rsidRPr="00B34EBF" w:rsidRDefault="00B34EBF" w:rsidP="00B34EBF">
      <w:pPr>
        <w:autoSpaceDE w:val="0"/>
        <w:autoSpaceDN w:val="0"/>
        <w:adjustRightInd w:val="0"/>
        <w:spacing w:after="0" w:line="360" w:lineRule="auto"/>
        <w:rPr>
          <w:b/>
          <w:bCs/>
          <w:szCs w:val="24"/>
          <w:lang w:eastAsia="en-IN"/>
        </w:rPr>
      </w:pPr>
      <w:r>
        <w:rPr>
          <w:b/>
          <w:bCs/>
          <w:szCs w:val="24"/>
          <w:lang w:eastAsia="en-IN"/>
        </w:rPr>
        <w:t>Q</w:t>
      </w:r>
      <w:r w:rsidR="008704BE" w:rsidRPr="00B34EBF">
        <w:rPr>
          <w:b/>
          <w:bCs/>
          <w:szCs w:val="24"/>
          <w:lang w:eastAsia="en-IN"/>
        </w:rPr>
        <w:t xml:space="preserve">1. Explain the concept of Investment Multiplier? How is it related to marginal propensity to consume? (10 Marks) </w:t>
      </w:r>
    </w:p>
    <w:p w:rsidR="008704BE" w:rsidRPr="00B34EBF" w:rsidRDefault="008704BE" w:rsidP="00B34EBF">
      <w:pPr>
        <w:autoSpaceDE w:val="0"/>
        <w:autoSpaceDN w:val="0"/>
        <w:adjustRightInd w:val="0"/>
        <w:spacing w:after="0" w:line="360" w:lineRule="auto"/>
        <w:rPr>
          <w:b/>
          <w:bCs/>
          <w:szCs w:val="24"/>
          <w:lang w:eastAsia="en-IN"/>
        </w:rPr>
      </w:pPr>
    </w:p>
    <w:p w:rsidR="00B34EBF" w:rsidRDefault="00B34EBF" w:rsidP="00B34EBF">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1.</w:t>
      </w:r>
      <w:proofErr w:type="gramEnd"/>
    </w:p>
    <w:p w:rsidR="005E33E2" w:rsidRPr="00B34EBF" w:rsidRDefault="005E33E2" w:rsidP="00B34EBF">
      <w:pPr>
        <w:autoSpaceDE w:val="0"/>
        <w:autoSpaceDN w:val="0"/>
        <w:adjustRightInd w:val="0"/>
        <w:spacing w:after="0" w:line="360" w:lineRule="auto"/>
        <w:rPr>
          <w:b/>
          <w:bCs/>
          <w:szCs w:val="24"/>
          <w:lang w:eastAsia="en-IN"/>
        </w:rPr>
      </w:pPr>
      <w:r w:rsidRPr="00B34EBF">
        <w:rPr>
          <w:b/>
          <w:bCs/>
          <w:szCs w:val="24"/>
          <w:lang w:eastAsia="en-IN"/>
        </w:rPr>
        <w:t>Introduction:</w:t>
      </w:r>
    </w:p>
    <w:p w:rsidR="00DA304D" w:rsidRDefault="008704BE" w:rsidP="001610F2">
      <w:pPr>
        <w:spacing w:line="360" w:lineRule="auto"/>
        <w:rPr>
          <w:szCs w:val="24"/>
        </w:rPr>
      </w:pPr>
      <w:r w:rsidRPr="00B34EBF">
        <w:rPr>
          <w:szCs w:val="24"/>
        </w:rPr>
        <w:t xml:space="preserve">An investment multiplier is a tool for calculating the financial impact of public and private funding. The perception of an investment multiplier states that each boom in population or private capital spending has a larger-than-proportional beneficial impact on combination sales and the economy. The multiplier tries to measure the consequences of investment spending that aren't immediately observable. The greater the multiplier of funding, the extra power it is at production and distributing wealth across the economic system. For example, more significant </w:t>
      </w:r>
    </w:p>
    <w:p w:rsidR="001610F2" w:rsidRDefault="001610F2" w:rsidP="001610F2">
      <w:pPr>
        <w:shd w:val="clear" w:color="auto" w:fill="FFFFFF"/>
        <w:spacing w:after="0" w:line="360" w:lineRule="auto"/>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1610F2" w:rsidRDefault="001610F2" w:rsidP="001610F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610F2" w:rsidRDefault="001610F2" w:rsidP="001610F2">
      <w:pPr>
        <w:shd w:val="clear" w:color="auto" w:fill="FFFFFF"/>
        <w:spacing w:after="0" w:line="360" w:lineRule="auto"/>
        <w:jc w:val="center"/>
        <w:rPr>
          <w:rFonts w:cs="Calibri"/>
          <w:color w:val="222222"/>
        </w:rPr>
      </w:pPr>
    </w:p>
    <w:p w:rsidR="001610F2" w:rsidRDefault="001610F2" w:rsidP="001610F2">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610F2" w:rsidRDefault="001610F2" w:rsidP="001610F2">
      <w:pPr>
        <w:shd w:val="clear" w:color="auto" w:fill="FFFFFF"/>
        <w:spacing w:after="0" w:line="360" w:lineRule="auto"/>
        <w:jc w:val="center"/>
        <w:rPr>
          <w:rFonts w:cs="Calibri"/>
          <w:color w:val="222222"/>
        </w:rPr>
      </w:pPr>
    </w:p>
    <w:p w:rsidR="001610F2" w:rsidRDefault="001610F2" w:rsidP="001610F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1610F2" w:rsidRDefault="001610F2" w:rsidP="001610F2">
      <w:pPr>
        <w:shd w:val="clear" w:color="auto" w:fill="FFFFFF"/>
        <w:spacing w:after="0" w:line="360" w:lineRule="auto"/>
        <w:jc w:val="center"/>
        <w:rPr>
          <w:rFonts w:ascii="Arial" w:hAnsi="Arial" w:cs="Calibri"/>
          <w:color w:val="222222"/>
        </w:rPr>
      </w:pPr>
    </w:p>
    <w:p w:rsidR="001610F2" w:rsidRDefault="001610F2" w:rsidP="001610F2">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1610F2" w:rsidRDefault="001610F2" w:rsidP="001610F2">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10F2" w:rsidRDefault="001610F2" w:rsidP="001610F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610F2" w:rsidRDefault="001610F2" w:rsidP="001610F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610F2" w:rsidRDefault="001610F2" w:rsidP="001610F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610F2" w:rsidRDefault="001610F2" w:rsidP="001610F2">
      <w:pPr>
        <w:shd w:val="clear" w:color="auto" w:fill="FFFFFF"/>
        <w:spacing w:after="0" w:line="360" w:lineRule="auto"/>
        <w:jc w:val="center"/>
        <w:rPr>
          <w:rFonts w:cs="Calibri"/>
          <w:color w:val="500050"/>
        </w:rPr>
      </w:pPr>
    </w:p>
    <w:p w:rsidR="001610F2" w:rsidRDefault="001610F2" w:rsidP="001610F2">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1610F2" w:rsidRDefault="001610F2" w:rsidP="001610F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610F2" w:rsidRDefault="001610F2" w:rsidP="001610F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610F2" w:rsidRDefault="001610F2" w:rsidP="001610F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610F2" w:rsidRDefault="001610F2" w:rsidP="001610F2">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610F2" w:rsidRDefault="001610F2" w:rsidP="001610F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610F2" w:rsidRPr="00B34EBF" w:rsidRDefault="001610F2" w:rsidP="001610F2">
      <w:pPr>
        <w:spacing w:line="360" w:lineRule="auto"/>
        <w:rPr>
          <w:szCs w:val="24"/>
        </w:rPr>
      </w:pPr>
    </w:p>
    <w:p w:rsidR="008704BE" w:rsidRPr="00B34EBF" w:rsidRDefault="008704BE" w:rsidP="00B34EBF">
      <w:pPr>
        <w:spacing w:line="360" w:lineRule="auto"/>
        <w:rPr>
          <w:szCs w:val="24"/>
        </w:rPr>
      </w:pPr>
    </w:p>
    <w:p w:rsidR="00B34EBF" w:rsidRDefault="00B34EBF" w:rsidP="00B34EBF">
      <w:pPr>
        <w:autoSpaceDE w:val="0"/>
        <w:autoSpaceDN w:val="0"/>
        <w:adjustRightInd w:val="0"/>
        <w:spacing w:after="0" w:line="360" w:lineRule="auto"/>
        <w:rPr>
          <w:b/>
          <w:bCs/>
          <w:szCs w:val="24"/>
          <w:lang w:eastAsia="en-IN"/>
        </w:rPr>
      </w:pPr>
    </w:p>
    <w:p w:rsidR="008704BE" w:rsidRPr="00B34EBF" w:rsidRDefault="00B34EBF" w:rsidP="00B34EBF">
      <w:pPr>
        <w:autoSpaceDE w:val="0"/>
        <w:autoSpaceDN w:val="0"/>
        <w:adjustRightInd w:val="0"/>
        <w:spacing w:after="0" w:line="360" w:lineRule="auto"/>
        <w:rPr>
          <w:b/>
          <w:bCs/>
          <w:szCs w:val="24"/>
          <w:lang w:eastAsia="en-IN"/>
        </w:rPr>
      </w:pPr>
      <w:r>
        <w:rPr>
          <w:b/>
          <w:bCs/>
          <w:szCs w:val="24"/>
          <w:lang w:eastAsia="en-IN"/>
        </w:rPr>
        <w:t>Q</w:t>
      </w:r>
      <w:r w:rsidR="008704BE" w:rsidRPr="00B34EBF">
        <w:rPr>
          <w:b/>
          <w:bCs/>
          <w:szCs w:val="24"/>
          <w:lang w:eastAsia="en-IN"/>
        </w:rPr>
        <w:t xml:space="preserve">2. Is the fixed or flexible exchange rate more advantageous for an economy? Discuss the advantages and disadvantages of a fixed exchange rate? (10 Marks) </w:t>
      </w:r>
    </w:p>
    <w:p w:rsidR="008704BE" w:rsidRPr="00B34EBF" w:rsidRDefault="008704BE" w:rsidP="00B34EBF">
      <w:pPr>
        <w:autoSpaceDE w:val="0"/>
        <w:autoSpaceDN w:val="0"/>
        <w:adjustRightInd w:val="0"/>
        <w:spacing w:after="0" w:line="360" w:lineRule="auto"/>
        <w:rPr>
          <w:b/>
          <w:bCs/>
          <w:szCs w:val="24"/>
          <w:lang w:eastAsia="en-IN"/>
        </w:rPr>
      </w:pPr>
    </w:p>
    <w:p w:rsidR="00B34EBF" w:rsidRDefault="00B34EBF" w:rsidP="00B34EBF">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2.</w:t>
      </w:r>
      <w:proofErr w:type="gramEnd"/>
    </w:p>
    <w:p w:rsidR="005E33E2" w:rsidRPr="00B34EBF" w:rsidRDefault="005E33E2" w:rsidP="00B34EBF">
      <w:pPr>
        <w:autoSpaceDE w:val="0"/>
        <w:autoSpaceDN w:val="0"/>
        <w:adjustRightInd w:val="0"/>
        <w:spacing w:after="0" w:line="360" w:lineRule="auto"/>
        <w:rPr>
          <w:b/>
          <w:bCs/>
          <w:szCs w:val="24"/>
          <w:lang w:eastAsia="en-IN"/>
        </w:rPr>
      </w:pPr>
      <w:r w:rsidRPr="00B34EBF">
        <w:rPr>
          <w:b/>
          <w:bCs/>
          <w:szCs w:val="24"/>
          <w:lang w:eastAsia="en-IN"/>
        </w:rPr>
        <w:t>Introduction:</w:t>
      </w:r>
    </w:p>
    <w:p w:rsidR="008704BE" w:rsidRPr="00B34EBF" w:rsidRDefault="001D021E" w:rsidP="001610F2">
      <w:pPr>
        <w:spacing w:line="360" w:lineRule="auto"/>
        <w:rPr>
          <w:szCs w:val="24"/>
        </w:rPr>
      </w:pPr>
      <w:r w:rsidRPr="00B34EBF">
        <w:rPr>
          <w:szCs w:val="24"/>
        </w:rPr>
        <w:t xml:space="preserve">The government is primarily worried about ensuring a stable and thriving global economy. </w:t>
      </w:r>
      <w:proofErr w:type="spellStart"/>
      <w:r w:rsidRPr="00B34EBF">
        <w:rPr>
          <w:szCs w:val="24"/>
        </w:rPr>
        <w:t>Forex</w:t>
      </w:r>
      <w:proofErr w:type="spellEnd"/>
      <w:r w:rsidRPr="00B34EBF">
        <w:rPr>
          <w:szCs w:val="24"/>
        </w:rPr>
        <w:t xml:space="preserve"> fee systems that are stable are essential for the constant economic boom. This research compares and contrasts fixed exchange costs, variable change rates, and foreign boards/unions and their benefits and drawbacks. Market-determined floating trade rate systems have values that modify with market factors. Below a fixed exchange price gadget, the central bank is dedicated to using </w:t>
      </w:r>
    </w:p>
    <w:p w:rsidR="001D021E" w:rsidRDefault="001D021E" w:rsidP="00B34EBF">
      <w:pPr>
        <w:spacing w:line="360" w:lineRule="auto"/>
        <w:rPr>
          <w:szCs w:val="24"/>
        </w:rPr>
      </w:pPr>
    </w:p>
    <w:p w:rsidR="00B34EBF" w:rsidRPr="00B34EBF" w:rsidRDefault="00B34EBF" w:rsidP="00B34EBF">
      <w:pPr>
        <w:spacing w:line="360" w:lineRule="auto"/>
        <w:rPr>
          <w:szCs w:val="24"/>
        </w:rPr>
      </w:pPr>
    </w:p>
    <w:p w:rsidR="001D021E" w:rsidRPr="00B34EBF" w:rsidRDefault="00B34EBF" w:rsidP="00B34EBF">
      <w:pPr>
        <w:autoSpaceDE w:val="0"/>
        <w:autoSpaceDN w:val="0"/>
        <w:adjustRightInd w:val="0"/>
        <w:spacing w:after="0" w:line="360" w:lineRule="auto"/>
        <w:rPr>
          <w:b/>
          <w:bCs/>
          <w:szCs w:val="24"/>
          <w:lang w:eastAsia="en-IN"/>
        </w:rPr>
      </w:pPr>
      <w:r>
        <w:rPr>
          <w:b/>
          <w:bCs/>
          <w:szCs w:val="24"/>
          <w:lang w:eastAsia="en-IN"/>
        </w:rPr>
        <w:lastRenderedPageBreak/>
        <w:t>Q3</w:t>
      </w:r>
      <w:r w:rsidR="001D021E" w:rsidRPr="00B34EBF">
        <w:rPr>
          <w:b/>
          <w:bCs/>
          <w:szCs w:val="24"/>
          <w:lang w:eastAsia="en-IN"/>
        </w:rPr>
        <w:t xml:space="preserve">a. The following information is available for an economy. On the basis of the information given below, calculate National Income (5 Marks) </w:t>
      </w:r>
    </w:p>
    <w:p w:rsidR="001D021E" w:rsidRPr="00B34EBF" w:rsidRDefault="001D021E" w:rsidP="00B34EBF">
      <w:pPr>
        <w:autoSpaceDE w:val="0"/>
        <w:autoSpaceDN w:val="0"/>
        <w:adjustRightInd w:val="0"/>
        <w:spacing w:after="0" w:line="360" w:lineRule="auto"/>
        <w:rPr>
          <w:b/>
          <w:bCs/>
          <w:szCs w:val="24"/>
          <w:lang w:eastAsia="en-IN"/>
        </w:r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2291"/>
      </w:tblGrid>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 xml:space="preserve">Items </w:t>
            </w:r>
          </w:p>
        </w:tc>
        <w:tc>
          <w:tcPr>
            <w:tcW w:w="2291" w:type="dxa"/>
          </w:tcPr>
          <w:p w:rsidR="001D021E" w:rsidRPr="00B34EBF" w:rsidRDefault="001D021E" w:rsidP="00B34EBF">
            <w:pPr>
              <w:spacing w:line="360" w:lineRule="auto"/>
              <w:rPr>
                <w:b/>
                <w:bCs/>
                <w:szCs w:val="24"/>
              </w:rPr>
            </w:pPr>
            <w:r w:rsidRPr="00B34EBF">
              <w:rPr>
                <w:b/>
                <w:bCs/>
                <w:szCs w:val="24"/>
                <w:lang w:eastAsia="en-IN"/>
              </w:rPr>
              <w:t>Rs</w:t>
            </w:r>
          </w:p>
        </w:tc>
      </w:tr>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Wages</w:t>
            </w:r>
          </w:p>
        </w:tc>
        <w:tc>
          <w:tcPr>
            <w:tcW w:w="2291" w:type="dxa"/>
          </w:tcPr>
          <w:p w:rsidR="001D021E" w:rsidRPr="00B34EBF" w:rsidRDefault="001D021E" w:rsidP="00B34EBF">
            <w:pPr>
              <w:spacing w:line="360" w:lineRule="auto"/>
              <w:rPr>
                <w:b/>
                <w:bCs/>
                <w:szCs w:val="24"/>
              </w:rPr>
            </w:pPr>
            <w:r w:rsidRPr="00B34EBF">
              <w:rPr>
                <w:b/>
                <w:bCs/>
                <w:szCs w:val="24"/>
                <w:lang w:eastAsia="en-IN"/>
              </w:rPr>
              <w:t>10,000</w:t>
            </w:r>
          </w:p>
        </w:tc>
      </w:tr>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Rent</w:t>
            </w:r>
          </w:p>
        </w:tc>
        <w:tc>
          <w:tcPr>
            <w:tcW w:w="2291" w:type="dxa"/>
          </w:tcPr>
          <w:p w:rsidR="001D021E" w:rsidRPr="00B34EBF" w:rsidRDefault="001D021E" w:rsidP="00B34EBF">
            <w:pPr>
              <w:spacing w:line="360" w:lineRule="auto"/>
              <w:rPr>
                <w:b/>
                <w:bCs/>
                <w:szCs w:val="24"/>
              </w:rPr>
            </w:pPr>
            <w:r w:rsidRPr="00B34EBF">
              <w:rPr>
                <w:b/>
                <w:bCs/>
                <w:szCs w:val="24"/>
                <w:lang w:eastAsia="en-IN"/>
              </w:rPr>
              <w:t>5000</w:t>
            </w:r>
          </w:p>
        </w:tc>
      </w:tr>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Interest</w:t>
            </w:r>
          </w:p>
        </w:tc>
        <w:tc>
          <w:tcPr>
            <w:tcW w:w="2291" w:type="dxa"/>
          </w:tcPr>
          <w:p w:rsidR="001D021E" w:rsidRPr="00B34EBF" w:rsidRDefault="001D021E" w:rsidP="00B34EBF">
            <w:pPr>
              <w:spacing w:line="360" w:lineRule="auto"/>
              <w:rPr>
                <w:b/>
                <w:bCs/>
                <w:szCs w:val="24"/>
              </w:rPr>
            </w:pPr>
            <w:r w:rsidRPr="00B34EBF">
              <w:rPr>
                <w:b/>
                <w:bCs/>
                <w:szCs w:val="24"/>
                <w:lang w:eastAsia="en-IN"/>
              </w:rPr>
              <w:t>400</w:t>
            </w:r>
          </w:p>
        </w:tc>
      </w:tr>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Dividend</w:t>
            </w:r>
          </w:p>
        </w:tc>
        <w:tc>
          <w:tcPr>
            <w:tcW w:w="2291" w:type="dxa"/>
          </w:tcPr>
          <w:p w:rsidR="001D021E" w:rsidRPr="00B34EBF" w:rsidRDefault="001D021E" w:rsidP="00B34EBF">
            <w:pPr>
              <w:spacing w:line="360" w:lineRule="auto"/>
              <w:rPr>
                <w:b/>
                <w:bCs/>
                <w:szCs w:val="24"/>
              </w:rPr>
            </w:pPr>
            <w:r w:rsidRPr="00B34EBF">
              <w:rPr>
                <w:b/>
                <w:bCs/>
                <w:szCs w:val="24"/>
                <w:lang w:eastAsia="en-IN"/>
              </w:rPr>
              <w:t>3000</w:t>
            </w:r>
          </w:p>
        </w:tc>
      </w:tr>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Mixed-income</w:t>
            </w:r>
          </w:p>
        </w:tc>
        <w:tc>
          <w:tcPr>
            <w:tcW w:w="2291" w:type="dxa"/>
          </w:tcPr>
          <w:p w:rsidR="001D021E" w:rsidRPr="00B34EBF" w:rsidRDefault="001D021E" w:rsidP="00B34EBF">
            <w:pPr>
              <w:spacing w:line="360" w:lineRule="auto"/>
              <w:rPr>
                <w:b/>
                <w:bCs/>
                <w:szCs w:val="24"/>
              </w:rPr>
            </w:pPr>
            <w:r w:rsidRPr="00B34EBF">
              <w:rPr>
                <w:b/>
                <w:bCs/>
                <w:szCs w:val="24"/>
                <w:lang w:eastAsia="en-IN"/>
              </w:rPr>
              <w:t>400</w:t>
            </w:r>
          </w:p>
        </w:tc>
      </w:tr>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Undistributed Profits</w:t>
            </w:r>
          </w:p>
        </w:tc>
        <w:tc>
          <w:tcPr>
            <w:tcW w:w="2291" w:type="dxa"/>
          </w:tcPr>
          <w:p w:rsidR="001D021E" w:rsidRPr="00B34EBF" w:rsidRDefault="001D021E" w:rsidP="00B34EBF">
            <w:pPr>
              <w:spacing w:line="360" w:lineRule="auto"/>
              <w:rPr>
                <w:b/>
                <w:bCs/>
                <w:szCs w:val="24"/>
              </w:rPr>
            </w:pPr>
            <w:r w:rsidRPr="00B34EBF">
              <w:rPr>
                <w:b/>
                <w:bCs/>
                <w:szCs w:val="24"/>
                <w:lang w:eastAsia="en-IN"/>
              </w:rPr>
              <w:t>200</w:t>
            </w:r>
          </w:p>
        </w:tc>
      </w:tr>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Social security contribution</w:t>
            </w:r>
          </w:p>
        </w:tc>
        <w:tc>
          <w:tcPr>
            <w:tcW w:w="2291" w:type="dxa"/>
          </w:tcPr>
          <w:p w:rsidR="001D021E" w:rsidRPr="00B34EBF" w:rsidRDefault="001D021E" w:rsidP="00B34EBF">
            <w:pPr>
              <w:spacing w:line="360" w:lineRule="auto"/>
              <w:rPr>
                <w:b/>
                <w:bCs/>
                <w:szCs w:val="24"/>
              </w:rPr>
            </w:pPr>
            <w:r w:rsidRPr="00B34EBF">
              <w:rPr>
                <w:b/>
                <w:bCs/>
                <w:szCs w:val="24"/>
                <w:lang w:eastAsia="en-IN"/>
              </w:rPr>
              <w:t>400</w:t>
            </w:r>
          </w:p>
        </w:tc>
      </w:tr>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Corporate profit tax</w:t>
            </w:r>
          </w:p>
        </w:tc>
        <w:tc>
          <w:tcPr>
            <w:tcW w:w="2291" w:type="dxa"/>
          </w:tcPr>
          <w:p w:rsidR="001D021E" w:rsidRPr="00B34EBF" w:rsidRDefault="001D021E" w:rsidP="00B34EBF">
            <w:pPr>
              <w:spacing w:line="360" w:lineRule="auto"/>
              <w:rPr>
                <w:b/>
                <w:bCs/>
                <w:szCs w:val="24"/>
              </w:rPr>
            </w:pPr>
            <w:r w:rsidRPr="00B34EBF">
              <w:rPr>
                <w:b/>
                <w:bCs/>
                <w:szCs w:val="24"/>
                <w:lang w:eastAsia="en-IN"/>
              </w:rPr>
              <w:t>400</w:t>
            </w:r>
          </w:p>
        </w:tc>
      </w:tr>
      <w:tr w:rsidR="001D021E" w:rsidRPr="00B34EBF" w:rsidTr="005B46CF">
        <w:tc>
          <w:tcPr>
            <w:tcW w:w="4621" w:type="dxa"/>
          </w:tcPr>
          <w:p w:rsidR="001D021E" w:rsidRPr="00B34EBF" w:rsidRDefault="001D021E" w:rsidP="00B34EBF">
            <w:pPr>
              <w:spacing w:line="360" w:lineRule="auto"/>
              <w:rPr>
                <w:b/>
                <w:bCs/>
                <w:szCs w:val="24"/>
              </w:rPr>
            </w:pPr>
            <w:r w:rsidRPr="00B34EBF">
              <w:rPr>
                <w:b/>
                <w:bCs/>
                <w:szCs w:val="24"/>
                <w:lang w:eastAsia="en-IN"/>
              </w:rPr>
              <w:t>Net factor income earned from abroad</w:t>
            </w:r>
          </w:p>
        </w:tc>
        <w:tc>
          <w:tcPr>
            <w:tcW w:w="2291" w:type="dxa"/>
          </w:tcPr>
          <w:p w:rsidR="001D021E" w:rsidRPr="00B34EBF" w:rsidRDefault="001D021E" w:rsidP="00B34EBF">
            <w:pPr>
              <w:spacing w:line="360" w:lineRule="auto"/>
              <w:rPr>
                <w:b/>
                <w:bCs/>
                <w:szCs w:val="24"/>
              </w:rPr>
            </w:pPr>
            <w:r w:rsidRPr="00B34EBF">
              <w:rPr>
                <w:b/>
                <w:bCs/>
                <w:szCs w:val="24"/>
                <w:lang w:eastAsia="en-IN"/>
              </w:rPr>
              <w:t>1000</w:t>
            </w:r>
          </w:p>
        </w:tc>
      </w:tr>
    </w:tbl>
    <w:p w:rsidR="001D021E" w:rsidRPr="00B34EBF" w:rsidRDefault="001D021E" w:rsidP="00B34EBF">
      <w:pPr>
        <w:spacing w:line="360" w:lineRule="auto"/>
        <w:rPr>
          <w:b/>
          <w:bCs/>
          <w:szCs w:val="24"/>
        </w:rPr>
      </w:pPr>
    </w:p>
    <w:p w:rsidR="00B34EBF" w:rsidRDefault="00B34EBF" w:rsidP="00B34EBF">
      <w:pPr>
        <w:spacing w:line="360" w:lineRule="auto"/>
        <w:rPr>
          <w:b/>
          <w:bCs/>
          <w:szCs w:val="24"/>
        </w:rPr>
      </w:pPr>
      <w:proofErr w:type="spellStart"/>
      <w:proofErr w:type="gramStart"/>
      <w:r>
        <w:rPr>
          <w:b/>
          <w:bCs/>
          <w:szCs w:val="24"/>
        </w:rPr>
        <w:t>Ans</w:t>
      </w:r>
      <w:proofErr w:type="spellEnd"/>
      <w:r>
        <w:rPr>
          <w:b/>
          <w:bCs/>
          <w:szCs w:val="24"/>
        </w:rPr>
        <w:t xml:space="preserve"> 3a.</w:t>
      </w:r>
      <w:proofErr w:type="gramEnd"/>
    </w:p>
    <w:p w:rsidR="001D021E" w:rsidRPr="00B34EBF" w:rsidRDefault="005E33E2" w:rsidP="00B34EBF">
      <w:pPr>
        <w:spacing w:line="360" w:lineRule="auto"/>
        <w:rPr>
          <w:b/>
          <w:bCs/>
          <w:szCs w:val="24"/>
        </w:rPr>
      </w:pPr>
      <w:r w:rsidRPr="00B34EBF">
        <w:rPr>
          <w:b/>
          <w:bCs/>
          <w:szCs w:val="24"/>
        </w:rPr>
        <w:t>Introduction:</w:t>
      </w:r>
    </w:p>
    <w:p w:rsidR="001D021E" w:rsidRPr="00B34EBF" w:rsidRDefault="001D021E" w:rsidP="001610F2">
      <w:pPr>
        <w:spacing w:line="360" w:lineRule="auto"/>
        <w:rPr>
          <w:szCs w:val="24"/>
        </w:rPr>
      </w:pPr>
      <w:r w:rsidRPr="00B34EBF">
        <w:rPr>
          <w:szCs w:val="24"/>
        </w:rPr>
        <w:t xml:space="preserve">The value of products and services generated using a country at some point of a financial year is referred to as countrywide earnings. Consequently, it is the sum of all a country's financial operations, measured in monetary phrases over a yr. National profit is a vague word often interchanged with country-wide dividends, national production, and national spending. The </w:t>
      </w:r>
    </w:p>
    <w:p w:rsidR="001D021E" w:rsidRPr="00B34EBF" w:rsidRDefault="001D021E" w:rsidP="00B34EBF">
      <w:pPr>
        <w:spacing w:line="360" w:lineRule="auto"/>
        <w:rPr>
          <w:szCs w:val="24"/>
        </w:rPr>
      </w:pPr>
    </w:p>
    <w:p w:rsidR="00B34EBF" w:rsidRDefault="00B34EBF" w:rsidP="00B34EBF">
      <w:pPr>
        <w:autoSpaceDE w:val="0"/>
        <w:autoSpaceDN w:val="0"/>
        <w:adjustRightInd w:val="0"/>
        <w:spacing w:after="0" w:line="360" w:lineRule="auto"/>
        <w:rPr>
          <w:b/>
          <w:bCs/>
          <w:szCs w:val="24"/>
          <w:lang w:eastAsia="en-IN"/>
        </w:rPr>
      </w:pPr>
    </w:p>
    <w:p w:rsidR="001610F2" w:rsidRDefault="001610F2" w:rsidP="00B34EBF">
      <w:pPr>
        <w:autoSpaceDE w:val="0"/>
        <w:autoSpaceDN w:val="0"/>
        <w:adjustRightInd w:val="0"/>
        <w:spacing w:after="0" w:line="360" w:lineRule="auto"/>
        <w:rPr>
          <w:b/>
          <w:bCs/>
          <w:szCs w:val="24"/>
          <w:lang w:eastAsia="en-IN"/>
        </w:rPr>
      </w:pPr>
    </w:p>
    <w:p w:rsidR="001610F2" w:rsidRDefault="001610F2" w:rsidP="00B34EBF">
      <w:pPr>
        <w:autoSpaceDE w:val="0"/>
        <w:autoSpaceDN w:val="0"/>
        <w:adjustRightInd w:val="0"/>
        <w:spacing w:after="0" w:line="360" w:lineRule="auto"/>
        <w:rPr>
          <w:b/>
          <w:bCs/>
          <w:szCs w:val="24"/>
          <w:lang w:eastAsia="en-IN"/>
        </w:rPr>
      </w:pPr>
    </w:p>
    <w:p w:rsidR="001D021E" w:rsidRPr="00B34EBF" w:rsidRDefault="00B34EBF" w:rsidP="00B34EBF">
      <w:pPr>
        <w:autoSpaceDE w:val="0"/>
        <w:autoSpaceDN w:val="0"/>
        <w:adjustRightInd w:val="0"/>
        <w:spacing w:after="0" w:line="360" w:lineRule="auto"/>
        <w:rPr>
          <w:b/>
          <w:bCs/>
          <w:szCs w:val="24"/>
          <w:lang w:eastAsia="en-IN"/>
        </w:rPr>
      </w:pPr>
      <w:r>
        <w:rPr>
          <w:b/>
          <w:bCs/>
          <w:szCs w:val="24"/>
          <w:lang w:eastAsia="en-IN"/>
        </w:rPr>
        <w:lastRenderedPageBreak/>
        <w:t>Q3</w:t>
      </w:r>
      <w:r w:rsidR="001D021E" w:rsidRPr="00B34EBF">
        <w:rPr>
          <w:b/>
          <w:bCs/>
          <w:szCs w:val="24"/>
          <w:lang w:eastAsia="en-IN"/>
        </w:rPr>
        <w:t xml:space="preserve">b. Instruments of Quantitative Credit Control (5 Marks) </w:t>
      </w:r>
    </w:p>
    <w:p w:rsidR="001D021E" w:rsidRPr="00B34EBF" w:rsidRDefault="001D021E" w:rsidP="00B34EBF">
      <w:pPr>
        <w:autoSpaceDE w:val="0"/>
        <w:autoSpaceDN w:val="0"/>
        <w:adjustRightInd w:val="0"/>
        <w:spacing w:after="0" w:line="360" w:lineRule="auto"/>
        <w:rPr>
          <w:b/>
          <w:bCs/>
          <w:szCs w:val="24"/>
          <w:lang w:eastAsia="en-IN"/>
        </w:rPr>
      </w:pPr>
    </w:p>
    <w:p w:rsidR="005E33E2" w:rsidRPr="00B34EBF" w:rsidRDefault="00B34EBF" w:rsidP="00B34EBF">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3b.</w:t>
      </w:r>
      <w:proofErr w:type="gramEnd"/>
    </w:p>
    <w:p w:rsidR="005E33E2" w:rsidRPr="00B34EBF" w:rsidRDefault="005E33E2" w:rsidP="00B34EBF">
      <w:pPr>
        <w:autoSpaceDE w:val="0"/>
        <w:autoSpaceDN w:val="0"/>
        <w:adjustRightInd w:val="0"/>
        <w:spacing w:after="0" w:line="360" w:lineRule="auto"/>
        <w:rPr>
          <w:b/>
          <w:bCs/>
          <w:szCs w:val="24"/>
          <w:lang w:eastAsia="en-IN"/>
        </w:rPr>
      </w:pPr>
      <w:r w:rsidRPr="00B34EBF">
        <w:rPr>
          <w:b/>
          <w:bCs/>
          <w:szCs w:val="24"/>
          <w:lang w:eastAsia="en-IN"/>
        </w:rPr>
        <w:t>Introduction:</w:t>
      </w:r>
    </w:p>
    <w:p w:rsidR="001D021E" w:rsidRPr="00B34EBF" w:rsidRDefault="001D021E" w:rsidP="001610F2">
      <w:pPr>
        <w:spacing w:line="360" w:lineRule="auto"/>
        <w:rPr>
          <w:szCs w:val="24"/>
        </w:rPr>
      </w:pPr>
      <w:r w:rsidRPr="00B34EBF">
        <w:rPr>
          <w:szCs w:val="24"/>
        </w:rPr>
        <w:t xml:space="preserve">Quantitative or general credit management techniques are the strategies hired by the banking system to affect the overall amount of credit within the financial gadget, irrespective of how it is utilized. These measures govern the financial area's capacity to lend at some point in the sector </w:t>
      </w:r>
    </w:p>
    <w:sectPr w:rsidR="001D021E" w:rsidRPr="00B34EB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1NjKxMDc3sTQwMjZR0lEKTi0uzszPAykwqQUALoNvKiwAAAA="/>
  </w:docVars>
  <w:rsids>
    <w:rsidRoot w:val="008704BE"/>
    <w:rsid w:val="001610F2"/>
    <w:rsid w:val="001D021E"/>
    <w:rsid w:val="003B2183"/>
    <w:rsid w:val="004D0615"/>
    <w:rsid w:val="005E33E2"/>
    <w:rsid w:val="006748E4"/>
    <w:rsid w:val="007405C8"/>
    <w:rsid w:val="008704BE"/>
    <w:rsid w:val="00972C34"/>
    <w:rsid w:val="00B34EBF"/>
    <w:rsid w:val="00B7009E"/>
    <w:rsid w:val="00D736C4"/>
    <w:rsid w:val="00DA304D"/>
    <w:rsid w:val="00E25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BE"/>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0F2"/>
    <w:rPr>
      <w:color w:val="0000FF"/>
      <w:u w:val="single"/>
    </w:rPr>
  </w:style>
  <w:style w:type="paragraph" w:styleId="BalloonText">
    <w:name w:val="Balloon Text"/>
    <w:basedOn w:val="Normal"/>
    <w:link w:val="BalloonTextChar"/>
    <w:uiPriority w:val="99"/>
    <w:semiHidden/>
    <w:unhideWhenUsed/>
    <w:rsid w:val="001610F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610F2"/>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2022-04-04T07:54:00Z</dcterms:created>
  <dcterms:modified xsi:type="dcterms:W3CDTF">2022-04-06T14:30:00Z</dcterms:modified>
</cp:coreProperties>
</file>