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AC" w:rsidRPr="008930BF" w:rsidRDefault="003B57AC" w:rsidP="006568E8">
      <w:pPr>
        <w:spacing w:line="360" w:lineRule="auto"/>
        <w:jc w:val="center"/>
        <w:rPr>
          <w:b/>
          <w:szCs w:val="24"/>
          <w:lang w:eastAsia="en-IN"/>
        </w:rPr>
      </w:pPr>
      <w:r w:rsidRPr="008930BF">
        <w:rPr>
          <w:b/>
          <w:szCs w:val="24"/>
          <w:lang w:eastAsia="en-IN"/>
        </w:rPr>
        <w:t>Fundamentals of Taxation</w:t>
      </w:r>
    </w:p>
    <w:p w:rsidR="003B57AC" w:rsidRPr="008930BF" w:rsidRDefault="008930BF" w:rsidP="008930BF">
      <w:pPr>
        <w:spacing w:line="360" w:lineRule="auto"/>
        <w:jc w:val="center"/>
        <w:rPr>
          <w:b/>
          <w:szCs w:val="24"/>
          <w:lang w:eastAsia="en-IN"/>
        </w:rPr>
      </w:pPr>
      <w:r w:rsidRPr="008930BF">
        <w:rPr>
          <w:b/>
          <w:spacing w:val="-1"/>
          <w:szCs w:val="24"/>
        </w:rPr>
        <w:t>Jun</w:t>
      </w:r>
      <w:r w:rsidRPr="008930BF">
        <w:rPr>
          <w:b/>
          <w:szCs w:val="24"/>
        </w:rPr>
        <w:t xml:space="preserve">e </w:t>
      </w:r>
      <w:r w:rsidRPr="008930BF">
        <w:rPr>
          <w:b/>
          <w:spacing w:val="-2"/>
          <w:szCs w:val="24"/>
        </w:rPr>
        <w:t>2</w:t>
      </w:r>
      <w:r w:rsidRPr="008930BF">
        <w:rPr>
          <w:b/>
          <w:spacing w:val="1"/>
          <w:szCs w:val="24"/>
        </w:rPr>
        <w:t>0</w:t>
      </w:r>
      <w:r w:rsidRPr="008930BF">
        <w:rPr>
          <w:b/>
          <w:spacing w:val="-2"/>
          <w:szCs w:val="24"/>
        </w:rPr>
        <w:t>2</w:t>
      </w:r>
      <w:r w:rsidRPr="008930BF">
        <w:rPr>
          <w:b/>
          <w:szCs w:val="24"/>
        </w:rPr>
        <w:t>2</w:t>
      </w:r>
      <w:r w:rsidRPr="008930BF">
        <w:rPr>
          <w:b/>
          <w:spacing w:val="1"/>
          <w:szCs w:val="24"/>
        </w:rPr>
        <w:t xml:space="preserve"> </w:t>
      </w:r>
      <w:r w:rsidRPr="008930BF">
        <w:rPr>
          <w:b/>
          <w:szCs w:val="24"/>
        </w:rPr>
        <w:t>Ex</w:t>
      </w:r>
      <w:r w:rsidRPr="008930BF">
        <w:rPr>
          <w:b/>
          <w:spacing w:val="-2"/>
          <w:szCs w:val="24"/>
        </w:rPr>
        <w:t>am</w:t>
      </w:r>
      <w:r w:rsidRPr="008930BF">
        <w:rPr>
          <w:b/>
          <w:spacing w:val="-1"/>
          <w:szCs w:val="24"/>
        </w:rPr>
        <w:t>ina</w:t>
      </w:r>
      <w:r w:rsidRPr="008930BF">
        <w:rPr>
          <w:b/>
          <w:szCs w:val="24"/>
        </w:rPr>
        <w:t>t</w:t>
      </w:r>
      <w:r w:rsidRPr="008930BF">
        <w:rPr>
          <w:b/>
          <w:spacing w:val="1"/>
          <w:szCs w:val="24"/>
        </w:rPr>
        <w:t>i</w:t>
      </w:r>
      <w:r w:rsidRPr="008930BF">
        <w:rPr>
          <w:b/>
          <w:spacing w:val="-1"/>
          <w:szCs w:val="24"/>
        </w:rPr>
        <w:t>o</w:t>
      </w:r>
      <w:r w:rsidRPr="008930BF">
        <w:rPr>
          <w:b/>
          <w:szCs w:val="24"/>
        </w:rPr>
        <w:t>n</w:t>
      </w:r>
    </w:p>
    <w:p w:rsidR="006568E8" w:rsidRDefault="006568E8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6568E8" w:rsidRDefault="006568E8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8930BF" w:rsidRDefault="008930BF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3B57AC" w:rsidRPr="006568E8" w:rsidRDefault="00A46C0B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>
        <w:rPr>
          <w:b/>
          <w:szCs w:val="24"/>
          <w:lang w:eastAsia="en-IN"/>
        </w:rPr>
        <w:t>Q</w:t>
      </w:r>
      <w:r w:rsidR="003B57AC" w:rsidRPr="006568E8">
        <w:rPr>
          <w:b/>
          <w:szCs w:val="24"/>
          <w:lang w:eastAsia="en-IN"/>
        </w:rPr>
        <w:t xml:space="preserve">1. GST is called as consumption-based tax. Discuss and verify this statement with the help of a relevant example. Also, elaborate on the different categories of GST (10 Marks) 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3B57AC" w:rsidRPr="006568E8" w:rsidRDefault="00A46C0B" w:rsidP="006568E8">
      <w:pPr>
        <w:spacing w:line="36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Ans</w:t>
      </w:r>
      <w:proofErr w:type="spellEnd"/>
      <w:r>
        <w:rPr>
          <w:b/>
          <w:szCs w:val="24"/>
        </w:rPr>
        <w:t xml:space="preserve"> 1.</w:t>
      </w:r>
      <w:proofErr w:type="gramEnd"/>
    </w:p>
    <w:p w:rsidR="003B57AC" w:rsidRPr="006568E8" w:rsidRDefault="003B57AC" w:rsidP="006568E8">
      <w:pPr>
        <w:spacing w:line="360" w:lineRule="auto"/>
        <w:rPr>
          <w:b/>
          <w:szCs w:val="24"/>
        </w:rPr>
      </w:pPr>
      <w:r w:rsidRPr="006568E8">
        <w:rPr>
          <w:b/>
          <w:szCs w:val="24"/>
        </w:rPr>
        <w:t xml:space="preserve">Introduction: </w:t>
      </w:r>
    </w:p>
    <w:p w:rsidR="003B57AC" w:rsidRPr="006568E8" w:rsidRDefault="003B57AC" w:rsidP="00A46C0B">
      <w:pPr>
        <w:spacing w:line="360" w:lineRule="auto"/>
        <w:rPr>
          <w:szCs w:val="24"/>
        </w:rPr>
      </w:pPr>
      <w:r w:rsidRPr="006568E8">
        <w:rPr>
          <w:szCs w:val="24"/>
        </w:rPr>
        <w:t xml:space="preserve">Goods and Services Tax (GST) was brought in India and became applicable in India on 1st July 2017. GST is a destination-based tax as it is claimed from consumption instead of the place of starting place of products. GST changed into proposed because the most significant tax reform submit-independence to streamline country taxation gadget and assist reshape the USA's economy. The law became delivered into force by using acquainting the one hundred and first </w:t>
      </w:r>
    </w:p>
    <w:p w:rsidR="003B57AC" w:rsidRPr="006568E8" w:rsidRDefault="003B57AC" w:rsidP="006568E8">
      <w:pPr>
        <w:spacing w:line="360" w:lineRule="auto"/>
        <w:rPr>
          <w:szCs w:val="24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 xml:space="preserve">2. Following emoluments are received by Ms </w:t>
      </w:r>
      <w:proofErr w:type="spellStart"/>
      <w:r w:rsidRPr="006568E8">
        <w:rPr>
          <w:b/>
          <w:szCs w:val="24"/>
          <w:lang w:eastAsia="en-IN"/>
        </w:rPr>
        <w:t>Sangeeta</w:t>
      </w:r>
      <w:proofErr w:type="spellEnd"/>
      <w:r w:rsidRPr="006568E8">
        <w:rPr>
          <w:b/>
          <w:szCs w:val="24"/>
          <w:lang w:eastAsia="en-IN"/>
        </w:rPr>
        <w:t xml:space="preserve"> during the previous year ended on 31.3.2021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Basic salary                                                          250000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Dearness Allowance                                             10000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Commission                                                          2500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Entertainment allowance                                    2000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Medical expenses reimbursed                              25000</w:t>
      </w:r>
    </w:p>
    <w:p w:rsidR="003B57AC" w:rsidRPr="006568E8" w:rsidRDefault="003B57AC" w:rsidP="006568E8">
      <w:pPr>
        <w:spacing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Professional taxes paid                                        2000(Rs1000 paid by employer)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 xml:space="preserve">Ms. </w:t>
      </w:r>
      <w:proofErr w:type="spellStart"/>
      <w:r w:rsidRPr="006568E8">
        <w:rPr>
          <w:b/>
          <w:szCs w:val="24"/>
          <w:lang w:eastAsia="en-IN"/>
        </w:rPr>
        <w:t>Sangeeta</w:t>
      </w:r>
      <w:proofErr w:type="spellEnd"/>
      <w:r w:rsidRPr="006568E8">
        <w:rPr>
          <w:b/>
          <w:szCs w:val="24"/>
          <w:lang w:eastAsia="en-IN"/>
        </w:rPr>
        <w:t xml:space="preserve"> contributes Rs 2000 towards the Recognized Provident Fund She has no other income.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lastRenderedPageBreak/>
        <w:t xml:space="preserve">Compute the income from salary for A.Y 2022-23, and give reasons and explanations wherever required, </w:t>
      </w:r>
      <w:proofErr w:type="gramStart"/>
      <w:r w:rsidRPr="006568E8">
        <w:rPr>
          <w:b/>
          <w:szCs w:val="24"/>
          <w:lang w:eastAsia="en-IN"/>
        </w:rPr>
        <w:t>If</w:t>
      </w:r>
      <w:proofErr w:type="gramEnd"/>
      <w:r w:rsidRPr="006568E8">
        <w:rPr>
          <w:b/>
          <w:szCs w:val="24"/>
          <w:lang w:eastAsia="en-IN"/>
        </w:rPr>
        <w:t xml:space="preserve"> Ms. </w:t>
      </w:r>
      <w:proofErr w:type="spellStart"/>
      <w:r w:rsidRPr="006568E8">
        <w:rPr>
          <w:b/>
          <w:szCs w:val="24"/>
          <w:lang w:eastAsia="en-IN"/>
        </w:rPr>
        <w:t>Sangeeta</w:t>
      </w:r>
      <w:proofErr w:type="spellEnd"/>
      <w:r w:rsidRPr="006568E8">
        <w:rPr>
          <w:b/>
          <w:szCs w:val="24"/>
          <w:lang w:eastAsia="en-IN"/>
        </w:rPr>
        <w:t xml:space="preserve"> is a Government employee. (10 Marks) </w:t>
      </w:r>
    </w:p>
    <w:p w:rsidR="003B57AC" w:rsidRPr="006568E8" w:rsidRDefault="003B57AC" w:rsidP="006568E8">
      <w:pPr>
        <w:spacing w:line="360" w:lineRule="auto"/>
        <w:rPr>
          <w:b/>
          <w:szCs w:val="24"/>
        </w:rPr>
      </w:pPr>
    </w:p>
    <w:p w:rsidR="00A46C0B" w:rsidRDefault="00A46C0B" w:rsidP="006568E8">
      <w:pPr>
        <w:spacing w:line="36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Ans</w:t>
      </w:r>
      <w:proofErr w:type="spellEnd"/>
      <w:r>
        <w:rPr>
          <w:b/>
          <w:szCs w:val="24"/>
        </w:rPr>
        <w:t xml:space="preserve"> 2.</w:t>
      </w:r>
      <w:proofErr w:type="gramEnd"/>
    </w:p>
    <w:p w:rsidR="003B57AC" w:rsidRPr="006568E8" w:rsidRDefault="003B57AC" w:rsidP="006568E8">
      <w:pPr>
        <w:spacing w:line="360" w:lineRule="auto"/>
        <w:rPr>
          <w:b/>
          <w:szCs w:val="24"/>
        </w:rPr>
      </w:pPr>
      <w:r w:rsidRPr="006568E8">
        <w:rPr>
          <w:b/>
          <w:szCs w:val="24"/>
        </w:rPr>
        <w:t>Introduction:</w:t>
      </w:r>
    </w:p>
    <w:p w:rsidR="003B57AC" w:rsidRPr="006568E8" w:rsidRDefault="003B57AC" w:rsidP="006568E8">
      <w:pPr>
        <w:spacing w:line="360" w:lineRule="auto"/>
        <w:rPr>
          <w:szCs w:val="24"/>
        </w:rPr>
      </w:pPr>
      <w:r w:rsidRPr="006568E8">
        <w:rPr>
          <w:szCs w:val="24"/>
        </w:rPr>
        <w:t>A person may earn income from salary, lease, dividends, etc. these incomes are chargeable to tax under different heads.</w:t>
      </w:r>
    </w:p>
    <w:p w:rsidR="003B57AC" w:rsidRPr="006568E8" w:rsidRDefault="003B57AC" w:rsidP="006568E8">
      <w:pPr>
        <w:spacing w:line="360" w:lineRule="auto"/>
        <w:rPr>
          <w:szCs w:val="24"/>
        </w:rPr>
      </w:pPr>
      <w:r w:rsidRPr="006568E8">
        <w:rPr>
          <w:szCs w:val="24"/>
        </w:rPr>
        <w:t xml:space="preserve">The Act presents five heads beneath which the total gross income can be distributed. </w:t>
      </w:r>
      <w:r w:rsidR="008278BA" w:rsidRPr="006568E8">
        <w:rPr>
          <w:szCs w:val="24"/>
        </w:rPr>
        <w:t>Those</w:t>
      </w:r>
      <w:r w:rsidRPr="006568E8">
        <w:rPr>
          <w:szCs w:val="24"/>
        </w:rPr>
        <w:t xml:space="preserve"> heads are:</w:t>
      </w:r>
    </w:p>
    <w:p w:rsidR="003B57AC" w:rsidRPr="006568E8" w:rsidRDefault="003B57AC" w:rsidP="006568E8">
      <w:pPr>
        <w:spacing w:line="360" w:lineRule="auto"/>
        <w:rPr>
          <w:szCs w:val="24"/>
        </w:rPr>
      </w:pPr>
      <w:r w:rsidRPr="006568E8">
        <w:rPr>
          <w:szCs w:val="24"/>
        </w:rPr>
        <w:t>1.</w:t>
      </w:r>
      <w:r w:rsidRPr="006568E8">
        <w:rPr>
          <w:szCs w:val="24"/>
        </w:rPr>
        <w:tab/>
      </w:r>
      <w:r w:rsidR="008278BA" w:rsidRPr="006568E8">
        <w:rPr>
          <w:szCs w:val="24"/>
        </w:rPr>
        <w:t>Salary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June 2022,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May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A46C0B" w:rsidRDefault="00A46C0B" w:rsidP="00A46C0B">
      <w:pPr>
        <w:shd w:val="clear" w:color="auto" w:fill="E8EAED"/>
        <w:spacing w:after="0" w:line="360" w:lineRule="auto"/>
        <w:jc w:val="center"/>
        <w:rPr>
          <w:rFonts w:cs="Arial"/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8255" cy="825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ascii="Trebuchet MS" w:hAnsi="Trebuchet MS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A46C0B" w:rsidRDefault="00A46C0B" w:rsidP="00A46C0B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3B57AC" w:rsidRPr="006568E8" w:rsidRDefault="003B57AC" w:rsidP="006568E8">
      <w:pPr>
        <w:spacing w:line="360" w:lineRule="auto"/>
        <w:rPr>
          <w:szCs w:val="24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 xml:space="preserve">3. </w:t>
      </w:r>
      <w:proofErr w:type="gramStart"/>
      <w:r w:rsidRPr="006568E8">
        <w:rPr>
          <w:b/>
          <w:szCs w:val="24"/>
          <w:lang w:eastAsia="en-IN"/>
        </w:rPr>
        <w:t>From</w:t>
      </w:r>
      <w:proofErr w:type="gramEnd"/>
      <w:r w:rsidRPr="006568E8">
        <w:rPr>
          <w:b/>
          <w:szCs w:val="24"/>
          <w:lang w:eastAsia="en-IN"/>
        </w:rPr>
        <w:t xml:space="preserve"> the following information, furnished by Ms. </w:t>
      </w:r>
      <w:proofErr w:type="spellStart"/>
      <w:r w:rsidRPr="006568E8">
        <w:rPr>
          <w:b/>
          <w:szCs w:val="24"/>
          <w:lang w:eastAsia="en-IN"/>
        </w:rPr>
        <w:t>Anucampa</w:t>
      </w:r>
      <w:proofErr w:type="spellEnd"/>
      <w:r w:rsidRPr="006568E8">
        <w:rPr>
          <w:b/>
          <w:szCs w:val="24"/>
          <w:lang w:eastAsia="en-IN"/>
        </w:rPr>
        <w:t xml:space="preserve"> pertaining to the financial year ended as on 31st march 2022,</w:t>
      </w:r>
    </w:p>
    <w:p w:rsidR="003B57AC" w:rsidRPr="006568E8" w:rsidRDefault="003B57AC" w:rsidP="006568E8">
      <w:pPr>
        <w:spacing w:line="360" w:lineRule="auto"/>
        <w:rPr>
          <w:b/>
          <w:szCs w:val="24"/>
          <w:lang w:eastAsia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3B57AC" w:rsidRPr="006568E8" w:rsidTr="00C87F7B">
        <w:tc>
          <w:tcPr>
            <w:tcW w:w="4621" w:type="dxa"/>
          </w:tcPr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Short term capital gains on sale of</w:t>
            </w:r>
          </w:p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shares in an Indian company received in</w:t>
            </w:r>
          </w:p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Japan</w:t>
            </w:r>
          </w:p>
        </w:tc>
        <w:tc>
          <w:tcPr>
            <w:tcW w:w="4621" w:type="dxa"/>
          </w:tcPr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10000</w:t>
            </w:r>
          </w:p>
        </w:tc>
      </w:tr>
      <w:tr w:rsidR="003B57AC" w:rsidRPr="006568E8" w:rsidTr="00C87F7B">
        <w:tc>
          <w:tcPr>
            <w:tcW w:w="4621" w:type="dxa"/>
          </w:tcPr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Dividend from a Chinese company</w:t>
            </w:r>
          </w:p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received in China</w:t>
            </w:r>
          </w:p>
        </w:tc>
        <w:tc>
          <w:tcPr>
            <w:tcW w:w="4621" w:type="dxa"/>
          </w:tcPr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3000</w:t>
            </w:r>
          </w:p>
        </w:tc>
      </w:tr>
      <w:tr w:rsidR="003B57AC" w:rsidRPr="006568E8" w:rsidTr="00C87F7B">
        <w:tc>
          <w:tcPr>
            <w:tcW w:w="4621" w:type="dxa"/>
          </w:tcPr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Agricultural income from land in</w:t>
            </w:r>
          </w:p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Madhya Pradesh</w:t>
            </w:r>
          </w:p>
        </w:tc>
        <w:tc>
          <w:tcPr>
            <w:tcW w:w="4621" w:type="dxa"/>
          </w:tcPr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5000</w:t>
            </w:r>
          </w:p>
        </w:tc>
      </w:tr>
      <w:tr w:rsidR="003B57AC" w:rsidRPr="006568E8" w:rsidTr="00C87F7B">
        <w:tc>
          <w:tcPr>
            <w:tcW w:w="4621" w:type="dxa"/>
          </w:tcPr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Dividend from PJV Ltd an Indian</w:t>
            </w:r>
          </w:p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Company</w:t>
            </w:r>
          </w:p>
        </w:tc>
        <w:tc>
          <w:tcPr>
            <w:tcW w:w="4621" w:type="dxa"/>
          </w:tcPr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4745</w:t>
            </w:r>
          </w:p>
        </w:tc>
      </w:tr>
      <w:tr w:rsidR="003B57AC" w:rsidRPr="006568E8" w:rsidTr="00C87F7B">
        <w:tc>
          <w:tcPr>
            <w:tcW w:w="4621" w:type="dxa"/>
          </w:tcPr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Gross Rent from a residential property</w:t>
            </w:r>
          </w:p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located at Singapore, later on remitted</w:t>
            </w:r>
          </w:p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t>to the saving account in Bank of</w:t>
            </w:r>
          </w:p>
          <w:p w:rsidR="003B57AC" w:rsidRPr="006568E8" w:rsidRDefault="003B57AC" w:rsidP="006568E8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szCs w:val="24"/>
                <w:lang w:eastAsia="en-IN"/>
              </w:rPr>
            </w:pPr>
            <w:r w:rsidRPr="006568E8">
              <w:rPr>
                <w:b/>
                <w:szCs w:val="24"/>
                <w:lang w:eastAsia="en-IN"/>
              </w:rPr>
              <w:lastRenderedPageBreak/>
              <w:t>Maharashtra, Mumbai using the</w:t>
            </w:r>
          </w:p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t>approved channels</w:t>
            </w:r>
          </w:p>
        </w:tc>
        <w:tc>
          <w:tcPr>
            <w:tcW w:w="4621" w:type="dxa"/>
          </w:tcPr>
          <w:p w:rsidR="003B57AC" w:rsidRPr="006568E8" w:rsidRDefault="003B57AC" w:rsidP="006568E8">
            <w:pPr>
              <w:spacing w:line="360" w:lineRule="auto"/>
              <w:rPr>
                <w:b/>
                <w:szCs w:val="24"/>
              </w:rPr>
            </w:pPr>
            <w:r w:rsidRPr="006568E8">
              <w:rPr>
                <w:b/>
                <w:szCs w:val="24"/>
                <w:lang w:eastAsia="en-IN"/>
              </w:rPr>
              <w:lastRenderedPageBreak/>
              <w:t>600000</w:t>
            </w:r>
          </w:p>
        </w:tc>
      </w:tr>
    </w:tbl>
    <w:p w:rsidR="003B57AC" w:rsidRPr="006568E8" w:rsidRDefault="003B57AC" w:rsidP="006568E8">
      <w:pPr>
        <w:spacing w:line="360" w:lineRule="auto"/>
        <w:rPr>
          <w:b/>
          <w:szCs w:val="24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>Compute the total income and give reason for considering/ not considering these specific items for the relevant assessment year 2022-23, if she is</w:t>
      </w: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3B57AC" w:rsidRPr="006568E8" w:rsidRDefault="003B57AC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 xml:space="preserve">a. Resident and ordinary resident (5 Marks) </w:t>
      </w:r>
    </w:p>
    <w:p w:rsidR="003B57AC" w:rsidRPr="006568E8" w:rsidRDefault="003B57AC" w:rsidP="006568E8">
      <w:pPr>
        <w:spacing w:line="360" w:lineRule="auto"/>
        <w:rPr>
          <w:b/>
          <w:szCs w:val="24"/>
        </w:rPr>
      </w:pPr>
    </w:p>
    <w:p w:rsidR="003B57AC" w:rsidRPr="006568E8" w:rsidRDefault="00A46C0B" w:rsidP="006568E8">
      <w:pPr>
        <w:spacing w:line="36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Ans</w:t>
      </w:r>
      <w:proofErr w:type="spellEnd"/>
      <w:r>
        <w:rPr>
          <w:b/>
          <w:szCs w:val="24"/>
        </w:rPr>
        <w:t xml:space="preserve"> 3a.</w:t>
      </w:r>
      <w:proofErr w:type="gramEnd"/>
    </w:p>
    <w:p w:rsidR="003B57AC" w:rsidRPr="006568E8" w:rsidRDefault="003B57AC" w:rsidP="006568E8">
      <w:pPr>
        <w:spacing w:line="360" w:lineRule="auto"/>
        <w:rPr>
          <w:b/>
          <w:szCs w:val="24"/>
        </w:rPr>
      </w:pPr>
      <w:r w:rsidRPr="006568E8">
        <w:rPr>
          <w:b/>
          <w:szCs w:val="24"/>
        </w:rPr>
        <w:t>Introduction:</w:t>
      </w:r>
    </w:p>
    <w:p w:rsidR="003B57AC" w:rsidRPr="006568E8" w:rsidRDefault="003B57AC" w:rsidP="006568E8">
      <w:pPr>
        <w:spacing w:line="360" w:lineRule="auto"/>
        <w:rPr>
          <w:szCs w:val="24"/>
        </w:rPr>
      </w:pPr>
      <w:r w:rsidRPr="006568E8">
        <w:rPr>
          <w:szCs w:val="24"/>
        </w:rPr>
        <w:t xml:space="preserve">The income earned in a previous year is taxable in the applicable assessment year for an </w:t>
      </w:r>
      <w:proofErr w:type="spellStart"/>
      <w:r w:rsidRPr="006568E8">
        <w:rPr>
          <w:szCs w:val="24"/>
        </w:rPr>
        <w:t>assessee</w:t>
      </w:r>
      <w:proofErr w:type="spellEnd"/>
      <w:r w:rsidRPr="006568E8">
        <w:rPr>
          <w:szCs w:val="24"/>
        </w:rPr>
        <w:t>. The residential fame is crucial because it enables decide tax incidence on the taxpayer. There are three large categories of taxpayers primarily based on residential status:</w:t>
      </w:r>
    </w:p>
    <w:p w:rsidR="008278BA" w:rsidRPr="006568E8" w:rsidRDefault="008278BA" w:rsidP="00A46C0B">
      <w:pPr>
        <w:spacing w:line="360" w:lineRule="auto"/>
        <w:rPr>
          <w:rFonts w:eastAsia="Times New Roman"/>
          <w:color w:val="0E101A"/>
          <w:szCs w:val="24"/>
          <w:lang w:eastAsia="en-IN"/>
        </w:rPr>
      </w:pPr>
    </w:p>
    <w:p w:rsidR="008278BA" w:rsidRPr="006568E8" w:rsidRDefault="008278BA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</w:p>
    <w:p w:rsidR="008278BA" w:rsidRPr="006568E8" w:rsidRDefault="008278BA" w:rsidP="006568E8">
      <w:pPr>
        <w:autoSpaceDE w:val="0"/>
        <w:autoSpaceDN w:val="0"/>
        <w:adjustRightInd w:val="0"/>
        <w:spacing w:after="0" w:line="360" w:lineRule="auto"/>
        <w:rPr>
          <w:b/>
          <w:szCs w:val="24"/>
          <w:lang w:eastAsia="en-IN"/>
        </w:rPr>
      </w:pPr>
      <w:r w:rsidRPr="006568E8">
        <w:rPr>
          <w:b/>
          <w:szCs w:val="24"/>
          <w:lang w:eastAsia="en-IN"/>
        </w:rPr>
        <w:t xml:space="preserve">b. Non resident (5 Marks) </w:t>
      </w:r>
    </w:p>
    <w:p w:rsidR="00A46C0B" w:rsidRDefault="00A46C0B" w:rsidP="006568E8">
      <w:pPr>
        <w:spacing w:line="360" w:lineRule="auto"/>
        <w:rPr>
          <w:b/>
          <w:szCs w:val="24"/>
        </w:rPr>
      </w:pPr>
    </w:p>
    <w:p w:rsidR="008278BA" w:rsidRPr="006568E8" w:rsidRDefault="00A46C0B" w:rsidP="006568E8">
      <w:pPr>
        <w:spacing w:line="360" w:lineRule="auto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Ans</w:t>
      </w:r>
      <w:proofErr w:type="spellEnd"/>
      <w:r>
        <w:rPr>
          <w:b/>
          <w:szCs w:val="24"/>
        </w:rPr>
        <w:t xml:space="preserve"> 3b.</w:t>
      </w:r>
      <w:proofErr w:type="gramEnd"/>
    </w:p>
    <w:p w:rsidR="008278BA" w:rsidRPr="006568E8" w:rsidRDefault="008278BA" w:rsidP="006568E8">
      <w:pPr>
        <w:spacing w:line="360" w:lineRule="auto"/>
        <w:rPr>
          <w:b/>
          <w:szCs w:val="24"/>
        </w:rPr>
      </w:pPr>
      <w:r w:rsidRPr="006568E8">
        <w:rPr>
          <w:b/>
          <w:szCs w:val="24"/>
        </w:rPr>
        <w:t>Introduction:</w:t>
      </w:r>
    </w:p>
    <w:p w:rsidR="008278BA" w:rsidRPr="006568E8" w:rsidRDefault="008278BA" w:rsidP="00A46C0B">
      <w:pPr>
        <w:spacing w:line="360" w:lineRule="auto"/>
        <w:rPr>
          <w:bCs/>
          <w:szCs w:val="24"/>
        </w:rPr>
      </w:pPr>
      <w:r w:rsidRPr="006568E8">
        <w:rPr>
          <w:szCs w:val="24"/>
        </w:rPr>
        <w:t xml:space="preserve">A non-resident is a person who does not satisfy any of the number one conditions of the residential repute. The residential fame of an </w:t>
      </w:r>
      <w:proofErr w:type="spellStart"/>
      <w:r w:rsidRPr="006568E8">
        <w:rPr>
          <w:szCs w:val="24"/>
        </w:rPr>
        <w:t>assessee</w:t>
      </w:r>
      <w:proofErr w:type="spellEnd"/>
      <w:r w:rsidRPr="006568E8">
        <w:rPr>
          <w:szCs w:val="24"/>
        </w:rPr>
        <w:t xml:space="preserve"> is determined on a year-to-year basis. Section 6 of the Act offers residential popularity. The residential reputation of the taxpayer can also exchange from one year to another and therefore should be ascertained in each proceeding </w:t>
      </w:r>
    </w:p>
    <w:sectPr w:rsidR="008278BA" w:rsidRPr="006568E8" w:rsidSect="00DA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0C3B"/>
    <w:multiLevelType w:val="hybridMultilevel"/>
    <w:tmpl w:val="9A5C27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I3NTAzM7Qwt7A0MDNS0lEKTi0uzszPAykwrgUA91ImuiwAAAA="/>
  </w:docVars>
  <w:rsids>
    <w:rsidRoot w:val="003B57AC"/>
    <w:rsid w:val="002E441A"/>
    <w:rsid w:val="003B57AC"/>
    <w:rsid w:val="006568E8"/>
    <w:rsid w:val="006748E4"/>
    <w:rsid w:val="008278BA"/>
    <w:rsid w:val="008930BF"/>
    <w:rsid w:val="00893D82"/>
    <w:rsid w:val="008E1BBD"/>
    <w:rsid w:val="00A46C0B"/>
    <w:rsid w:val="00CE47D8"/>
    <w:rsid w:val="00D736C4"/>
    <w:rsid w:val="00DA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AC"/>
    <w:pPr>
      <w:jc w:val="both"/>
    </w:pPr>
    <w:rPr>
      <w:rFonts w:ascii="Times New Roman" w:eastAsia="Calibri" w:hAnsi="Times New Roman" w:cs="Times New Roman"/>
      <w:sz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8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6C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0B"/>
    <w:rPr>
      <w:rFonts w:ascii="Arial" w:eastAsia="Calibri" w:hAnsi="Arial" w:cs="Arial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dcterms:created xsi:type="dcterms:W3CDTF">2022-03-26T06:44:00Z</dcterms:created>
  <dcterms:modified xsi:type="dcterms:W3CDTF">2022-03-29T19:33:00Z</dcterms:modified>
</cp:coreProperties>
</file>